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D00358">
      <w:pPr>
        <w:jc w:val="center"/>
      </w:pPr>
      <w:r>
        <w:rPr>
          <w:noProof/>
        </w:rPr>
        <w:drawing>
          <wp:inline distT="0" distB="0" distL="0" distR="0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>
      <w:pPr>
        <w:pStyle w:val="Postan"/>
        <w:rPr>
          <w:sz w:val="26"/>
          <w:szCs w:val="26"/>
        </w:rPr>
      </w:pPr>
    </w:p>
    <w:p w:rsidR="00F24917" w:rsidRPr="00E36EA0" w:rsidRDefault="001B2D1C" w:rsidP="007936ED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7936ED">
      <w:pPr>
        <w:jc w:val="center"/>
        <w:rPr>
          <w:b/>
          <w:sz w:val="26"/>
          <w:szCs w:val="26"/>
        </w:rPr>
      </w:pPr>
    </w:p>
    <w:p w:rsidR="006564DB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 xml:space="preserve">от </w:t>
      </w:r>
      <w:r w:rsidR="00AC79B5">
        <w:rPr>
          <w:sz w:val="28"/>
          <w:szCs w:val="28"/>
        </w:rPr>
        <w:t>16.01.2017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sym w:font="Times New Roman" w:char="2116"/>
      </w:r>
      <w:r w:rsidRPr="00C327FC">
        <w:rPr>
          <w:sz w:val="28"/>
          <w:szCs w:val="28"/>
        </w:rPr>
        <w:t xml:space="preserve"> </w:t>
      </w:r>
      <w:r w:rsidR="00AC79B5">
        <w:rPr>
          <w:sz w:val="28"/>
          <w:szCs w:val="28"/>
        </w:rPr>
        <w:t>11</w:t>
      </w:r>
    </w:p>
    <w:p w:rsidR="006564DB" w:rsidRPr="0053366A" w:rsidRDefault="006564DB" w:rsidP="006564DB">
      <w:pPr>
        <w:jc w:val="center"/>
        <w:rPr>
          <w:sz w:val="26"/>
          <w:szCs w:val="26"/>
        </w:rPr>
      </w:pPr>
    </w:p>
    <w:p w:rsidR="006564DB" w:rsidRPr="00C327FC" w:rsidRDefault="006564DB" w:rsidP="006564DB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145656" w:rsidRPr="001A35CE" w:rsidRDefault="00145656" w:rsidP="00CF51C7">
      <w:pPr>
        <w:spacing w:line="216" w:lineRule="auto"/>
        <w:rPr>
          <w:bCs/>
          <w:kern w:val="2"/>
          <w:sz w:val="28"/>
          <w:szCs w:val="28"/>
        </w:rPr>
      </w:pPr>
    </w:p>
    <w:p w:rsidR="008972DB" w:rsidRPr="001A35CE" w:rsidRDefault="008972DB" w:rsidP="00CF51C7">
      <w:pPr>
        <w:spacing w:line="216" w:lineRule="auto"/>
        <w:jc w:val="center"/>
        <w:rPr>
          <w:b/>
          <w:kern w:val="2"/>
          <w:sz w:val="28"/>
          <w:szCs w:val="28"/>
        </w:rPr>
      </w:pPr>
      <w:r w:rsidRPr="001A35CE">
        <w:rPr>
          <w:b/>
          <w:kern w:val="2"/>
          <w:sz w:val="28"/>
          <w:szCs w:val="28"/>
        </w:rPr>
        <w:t>Об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утверждении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Перечня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="00A52C88">
        <w:rPr>
          <w:b/>
          <w:kern w:val="2"/>
          <w:sz w:val="28"/>
          <w:szCs w:val="28"/>
        </w:rPr>
        <w:br/>
      </w:r>
      <w:r w:rsidRPr="001A35CE">
        <w:rPr>
          <w:b/>
          <w:kern w:val="2"/>
          <w:sz w:val="28"/>
          <w:szCs w:val="28"/>
        </w:rPr>
        <w:t>приоритетных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социально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значимых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рынков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="00A52C88">
        <w:rPr>
          <w:b/>
          <w:kern w:val="2"/>
          <w:sz w:val="28"/>
          <w:szCs w:val="28"/>
        </w:rPr>
        <w:br/>
      </w:r>
      <w:r w:rsidRPr="001A35CE">
        <w:rPr>
          <w:b/>
          <w:kern w:val="2"/>
          <w:sz w:val="28"/>
          <w:szCs w:val="28"/>
        </w:rPr>
        <w:t>для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содействия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развитию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конкуренции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в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Ростовской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области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="00A52C88">
        <w:rPr>
          <w:b/>
          <w:kern w:val="2"/>
          <w:sz w:val="28"/>
          <w:szCs w:val="28"/>
        </w:rPr>
        <w:br/>
      </w:r>
      <w:r w:rsidRPr="001A35CE">
        <w:rPr>
          <w:b/>
          <w:kern w:val="2"/>
          <w:sz w:val="28"/>
          <w:szCs w:val="28"/>
        </w:rPr>
        <w:t>и</w:t>
      </w:r>
      <w:r w:rsidR="00A52C88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Плана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мероприятий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(«дорожной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карты»)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по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содействию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="00A52C88">
        <w:rPr>
          <w:b/>
          <w:kern w:val="2"/>
          <w:sz w:val="28"/>
          <w:szCs w:val="28"/>
        </w:rPr>
        <w:br/>
      </w:r>
      <w:r w:rsidRPr="001A35CE">
        <w:rPr>
          <w:b/>
          <w:kern w:val="2"/>
          <w:sz w:val="28"/>
          <w:szCs w:val="28"/>
        </w:rPr>
        <w:t>развитию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конкуренции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в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Ростовской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области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на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2017</w:t>
      </w:r>
      <w:r w:rsidR="00A52C88">
        <w:rPr>
          <w:b/>
          <w:kern w:val="2"/>
          <w:sz w:val="28"/>
          <w:szCs w:val="28"/>
        </w:rPr>
        <w:t xml:space="preserve"> – </w:t>
      </w:r>
      <w:r w:rsidRPr="001A35CE">
        <w:rPr>
          <w:b/>
          <w:kern w:val="2"/>
          <w:sz w:val="28"/>
          <w:szCs w:val="28"/>
        </w:rPr>
        <w:t>2020</w:t>
      </w:r>
      <w:r w:rsidR="001A35CE" w:rsidRPr="001A35CE">
        <w:rPr>
          <w:b/>
          <w:kern w:val="2"/>
          <w:sz w:val="28"/>
          <w:szCs w:val="28"/>
        </w:rPr>
        <w:t xml:space="preserve"> </w:t>
      </w:r>
      <w:r w:rsidRPr="001A35CE">
        <w:rPr>
          <w:b/>
          <w:kern w:val="2"/>
          <w:sz w:val="28"/>
          <w:szCs w:val="28"/>
        </w:rPr>
        <w:t>годы</w:t>
      </w:r>
    </w:p>
    <w:p w:rsidR="00145656" w:rsidRPr="001A35CE" w:rsidRDefault="00145656" w:rsidP="00CF51C7">
      <w:pPr>
        <w:spacing w:line="216" w:lineRule="auto"/>
        <w:rPr>
          <w:kern w:val="2"/>
          <w:sz w:val="28"/>
          <w:szCs w:val="28"/>
        </w:rPr>
      </w:pP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целях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реализации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распоряжения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Правительства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Российской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Федерации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от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05.09.2015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№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1738-р,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распоряжения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Губернатора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="00A52C88">
        <w:rPr>
          <w:kern w:val="2"/>
          <w:sz w:val="28"/>
          <w:szCs w:val="28"/>
        </w:rPr>
        <w:br/>
      </w:r>
      <w:r w:rsidRPr="001A35CE">
        <w:rPr>
          <w:kern w:val="2"/>
          <w:sz w:val="28"/>
          <w:szCs w:val="28"/>
        </w:rPr>
        <w:t>от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04.05.2016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№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156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«О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внедрении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территории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стандарта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субъектах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Российской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Федерации»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Правительство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A52C88">
        <w:rPr>
          <w:kern w:val="2"/>
          <w:sz w:val="28"/>
          <w:szCs w:val="28"/>
        </w:rPr>
        <w:t xml:space="preserve"> 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rFonts w:ascii="Times New Roman Полужирный" w:hAnsi="Times New Roman Полужирный"/>
          <w:b/>
          <w:spacing w:val="60"/>
          <w:kern w:val="2"/>
          <w:sz w:val="28"/>
          <w:szCs w:val="28"/>
        </w:rPr>
        <w:t>постановляе</w:t>
      </w:r>
      <w:r w:rsidRPr="001A35CE">
        <w:rPr>
          <w:b/>
          <w:kern w:val="2"/>
          <w:sz w:val="28"/>
          <w:szCs w:val="28"/>
        </w:rPr>
        <w:t>т:</w:t>
      </w:r>
    </w:p>
    <w:p w:rsidR="00145656" w:rsidRPr="001A35CE" w:rsidRDefault="00145656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bookmarkStart w:id="0" w:name="sub_4"/>
      <w:r w:rsidRPr="001A35CE">
        <w:rPr>
          <w:kern w:val="2"/>
          <w:sz w:val="28"/>
          <w:szCs w:val="28"/>
        </w:rPr>
        <w:t>1.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Утвердить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Перечень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приоритетных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социально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значимых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рынков</w:t>
      </w:r>
      <w:r w:rsidR="001A35CE" w:rsidRPr="001A35CE">
        <w:rPr>
          <w:kern w:val="2"/>
          <w:sz w:val="28"/>
          <w:szCs w:val="28"/>
        </w:rPr>
        <w:t xml:space="preserve"> </w:t>
      </w:r>
      <w:r w:rsidR="00A52C88">
        <w:rPr>
          <w:kern w:val="2"/>
          <w:sz w:val="28"/>
          <w:szCs w:val="28"/>
        </w:rPr>
        <w:br/>
      </w:r>
      <w:r w:rsidRPr="001A35CE">
        <w:rPr>
          <w:kern w:val="2"/>
          <w:sz w:val="28"/>
          <w:szCs w:val="28"/>
        </w:rPr>
        <w:t>для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согласно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приложению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№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1.</w:t>
      </w: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2.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Утвердить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План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мероприятий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(«дорожную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карту»)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2017</w:t>
      </w:r>
      <w:r w:rsidR="00A52C88">
        <w:rPr>
          <w:kern w:val="2"/>
          <w:sz w:val="28"/>
          <w:szCs w:val="28"/>
        </w:rPr>
        <w:t xml:space="preserve"> – </w:t>
      </w:r>
      <w:r w:rsidRPr="001A35CE">
        <w:rPr>
          <w:kern w:val="2"/>
          <w:sz w:val="28"/>
          <w:szCs w:val="28"/>
        </w:rPr>
        <w:t>2020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годы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согласно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приложению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№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2.</w:t>
      </w:r>
      <w:r w:rsidR="001A35CE" w:rsidRPr="001A35CE">
        <w:rPr>
          <w:kern w:val="2"/>
          <w:sz w:val="28"/>
          <w:szCs w:val="28"/>
        </w:rPr>
        <w:t xml:space="preserve"> </w:t>
      </w: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3.</w:t>
      </w:r>
      <w:r w:rsidR="00A52C88">
        <w:rPr>
          <w:kern w:val="2"/>
          <w:sz w:val="28"/>
          <w:szCs w:val="28"/>
        </w:rPr>
        <w:t> </w:t>
      </w:r>
      <w:proofErr w:type="gramStart"/>
      <w:r w:rsidRPr="001A35CE">
        <w:rPr>
          <w:kern w:val="2"/>
          <w:sz w:val="28"/>
          <w:szCs w:val="28"/>
        </w:rPr>
        <w:t>Органам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исполнительной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ежегодно,</w:t>
      </w:r>
      <w:r w:rsidR="001A35CE" w:rsidRPr="001A35CE">
        <w:rPr>
          <w:kern w:val="2"/>
          <w:sz w:val="28"/>
          <w:szCs w:val="28"/>
        </w:rPr>
        <w:t xml:space="preserve"> </w:t>
      </w:r>
      <w:r w:rsidR="00A52C88">
        <w:rPr>
          <w:kern w:val="2"/>
          <w:sz w:val="28"/>
          <w:szCs w:val="28"/>
        </w:rPr>
        <w:br/>
      </w:r>
      <w:r w:rsidRPr="001A35CE">
        <w:rPr>
          <w:kern w:val="2"/>
          <w:sz w:val="28"/>
          <w:szCs w:val="28"/>
        </w:rPr>
        <w:t>не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позднее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1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февраля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года,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следующего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отчетным,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представлять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министерство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экономического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информацию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итогах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реализации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Плана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мероприятий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(«дорожной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карты»)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курируемым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направлениям.</w:t>
      </w:r>
      <w:proofErr w:type="gramEnd"/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4.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Рекомендовать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органам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местного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самоуправления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оказывать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реализации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Плана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мероприятий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(«дорожной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карты»)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пределах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своих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полномочий.</w:t>
      </w: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5.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Настоящее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постановление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вступает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силу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дня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его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официального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опубликования.</w:t>
      </w:r>
    </w:p>
    <w:p w:rsidR="008972DB" w:rsidRPr="001A35CE" w:rsidRDefault="008972DB" w:rsidP="00CF51C7">
      <w:pPr>
        <w:spacing w:line="216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6.</w:t>
      </w:r>
      <w:r w:rsidR="00A52C88">
        <w:rPr>
          <w:kern w:val="2"/>
          <w:sz w:val="28"/>
          <w:szCs w:val="28"/>
        </w:rPr>
        <w:t> </w:t>
      </w:r>
      <w:proofErr w:type="gramStart"/>
      <w:r w:rsidRPr="001A35CE">
        <w:rPr>
          <w:kern w:val="2"/>
          <w:sz w:val="28"/>
          <w:szCs w:val="28"/>
        </w:rPr>
        <w:t>Контроль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за</w:t>
      </w:r>
      <w:proofErr w:type="gramEnd"/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выполнением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настоящего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постановления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возложить</w:t>
      </w:r>
      <w:r w:rsidR="001A35CE" w:rsidRPr="001A35CE">
        <w:rPr>
          <w:kern w:val="2"/>
          <w:sz w:val="28"/>
          <w:szCs w:val="28"/>
        </w:rPr>
        <w:t xml:space="preserve"> </w:t>
      </w:r>
      <w:r w:rsidR="00A52C88">
        <w:rPr>
          <w:kern w:val="2"/>
          <w:sz w:val="28"/>
          <w:szCs w:val="28"/>
        </w:rPr>
        <w:br/>
      </w:r>
      <w:r w:rsidRPr="001A35CE">
        <w:rPr>
          <w:kern w:val="2"/>
          <w:sz w:val="28"/>
          <w:szCs w:val="28"/>
        </w:rPr>
        <w:t>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заместителя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Губернатора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proofErr w:type="spellStart"/>
      <w:r w:rsidRPr="001A35CE">
        <w:rPr>
          <w:kern w:val="2"/>
          <w:sz w:val="28"/>
          <w:szCs w:val="28"/>
        </w:rPr>
        <w:t>Молодченко</w:t>
      </w:r>
      <w:proofErr w:type="spellEnd"/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Ю.С.</w:t>
      </w:r>
    </w:p>
    <w:p w:rsidR="008972DB" w:rsidRPr="001A35CE" w:rsidRDefault="008972DB" w:rsidP="00CF51C7">
      <w:pPr>
        <w:spacing w:line="216" w:lineRule="auto"/>
        <w:rPr>
          <w:kern w:val="2"/>
          <w:sz w:val="28"/>
          <w:szCs w:val="28"/>
        </w:rPr>
      </w:pPr>
    </w:p>
    <w:bookmarkEnd w:id="0"/>
    <w:p w:rsidR="002A13FB" w:rsidRDefault="002A13FB" w:rsidP="00CF51C7">
      <w:pPr>
        <w:spacing w:line="216" w:lineRule="auto"/>
        <w:rPr>
          <w:sz w:val="28"/>
        </w:rPr>
      </w:pPr>
      <w:r>
        <w:rPr>
          <w:sz w:val="28"/>
        </w:rPr>
        <w:t xml:space="preserve">       </w:t>
      </w:r>
      <w:r w:rsidRPr="00804A3B">
        <w:rPr>
          <w:sz w:val="28"/>
        </w:rPr>
        <w:t>Губернатор</w:t>
      </w:r>
    </w:p>
    <w:p w:rsidR="002A13FB" w:rsidRDefault="002A13FB" w:rsidP="00CF51C7">
      <w:pPr>
        <w:spacing w:line="216" w:lineRule="auto"/>
        <w:rPr>
          <w:sz w:val="28"/>
        </w:rPr>
      </w:pPr>
      <w:r>
        <w:rPr>
          <w:sz w:val="28"/>
        </w:rPr>
        <w:t xml:space="preserve">Ростовской </w:t>
      </w:r>
      <w:r w:rsidRPr="00804A3B">
        <w:rPr>
          <w:sz w:val="28"/>
        </w:rPr>
        <w:t xml:space="preserve">области </w:t>
      </w:r>
      <w:r>
        <w:rPr>
          <w:sz w:val="28"/>
        </w:rPr>
        <w:t xml:space="preserve">                                                                              </w:t>
      </w:r>
      <w:r w:rsidRPr="001405D1">
        <w:rPr>
          <w:sz w:val="28"/>
        </w:rPr>
        <w:t xml:space="preserve">  </w:t>
      </w:r>
      <w:r w:rsidRPr="00804A3B">
        <w:rPr>
          <w:sz w:val="28"/>
        </w:rPr>
        <w:t xml:space="preserve">В.Ю. </w:t>
      </w:r>
      <w:proofErr w:type="gramStart"/>
      <w:r w:rsidRPr="00804A3B">
        <w:rPr>
          <w:sz w:val="28"/>
        </w:rPr>
        <w:t>Голубев</w:t>
      </w:r>
      <w:proofErr w:type="gramEnd"/>
    </w:p>
    <w:p w:rsidR="00145656" w:rsidRPr="001A35CE" w:rsidRDefault="00145656" w:rsidP="00CF51C7">
      <w:pPr>
        <w:snapToGrid w:val="0"/>
        <w:spacing w:line="216" w:lineRule="auto"/>
        <w:rPr>
          <w:kern w:val="2"/>
          <w:sz w:val="28"/>
          <w:szCs w:val="28"/>
        </w:rPr>
      </w:pPr>
    </w:p>
    <w:p w:rsidR="008972DB" w:rsidRPr="001A35CE" w:rsidRDefault="008972DB" w:rsidP="00CF51C7">
      <w:pPr>
        <w:snapToGrid w:val="0"/>
        <w:spacing w:line="216" w:lineRule="auto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Постановление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вносит</w:t>
      </w:r>
    </w:p>
    <w:p w:rsidR="008972DB" w:rsidRPr="001A35CE" w:rsidRDefault="008972DB" w:rsidP="00CF51C7">
      <w:pPr>
        <w:snapToGrid w:val="0"/>
        <w:spacing w:line="216" w:lineRule="auto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министерство</w:t>
      </w:r>
      <w:r w:rsidR="001A35CE" w:rsidRPr="001A35CE">
        <w:rPr>
          <w:kern w:val="2"/>
          <w:sz w:val="28"/>
          <w:szCs w:val="28"/>
        </w:rPr>
        <w:t xml:space="preserve"> </w:t>
      </w:r>
      <w:proofErr w:type="gramStart"/>
      <w:r w:rsidRPr="001A35CE">
        <w:rPr>
          <w:kern w:val="2"/>
          <w:sz w:val="28"/>
          <w:szCs w:val="28"/>
        </w:rPr>
        <w:t>экономического</w:t>
      </w:r>
      <w:proofErr w:type="gramEnd"/>
    </w:p>
    <w:p w:rsidR="008972DB" w:rsidRPr="001A35CE" w:rsidRDefault="008972DB" w:rsidP="00CF51C7">
      <w:pPr>
        <w:snapToGrid w:val="0"/>
        <w:spacing w:line="216" w:lineRule="auto"/>
        <w:rPr>
          <w:rFonts w:eastAsia="Arial Unicode MS"/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развития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</w:p>
    <w:p w:rsidR="008972DB" w:rsidRPr="001A35CE" w:rsidRDefault="008972DB" w:rsidP="002A13FB">
      <w:pPr>
        <w:pageBreakBefore/>
        <w:tabs>
          <w:tab w:val="left" w:pos="3369"/>
        </w:tabs>
        <w:ind w:left="6237"/>
        <w:jc w:val="center"/>
        <w:rPr>
          <w:kern w:val="2"/>
          <w:sz w:val="28"/>
          <w:szCs w:val="28"/>
        </w:rPr>
      </w:pPr>
      <w:bookmarkStart w:id="1" w:name="sub_1"/>
      <w:r w:rsidRPr="001A35CE">
        <w:rPr>
          <w:rFonts w:eastAsia="Arial Unicode MS"/>
          <w:bCs/>
          <w:kern w:val="2"/>
          <w:sz w:val="28"/>
          <w:szCs w:val="28"/>
        </w:rPr>
        <w:lastRenderedPageBreak/>
        <w:t>Приложение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№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1</w:t>
      </w:r>
    </w:p>
    <w:bookmarkEnd w:id="1"/>
    <w:p w:rsidR="008972DB" w:rsidRPr="001A35CE" w:rsidRDefault="008972DB" w:rsidP="002A13FB">
      <w:pPr>
        <w:ind w:left="6237"/>
        <w:jc w:val="center"/>
        <w:rPr>
          <w:rFonts w:eastAsia="Arial Unicode MS"/>
          <w:bCs/>
          <w:kern w:val="2"/>
          <w:sz w:val="28"/>
          <w:szCs w:val="28"/>
        </w:rPr>
      </w:pPr>
      <w:r w:rsidRPr="001A35CE">
        <w:rPr>
          <w:rFonts w:eastAsia="Arial Unicode MS"/>
          <w:bCs/>
          <w:kern w:val="2"/>
          <w:sz w:val="28"/>
          <w:szCs w:val="28"/>
        </w:rPr>
        <w:t>к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постановлению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Правительства</w:t>
      </w:r>
    </w:p>
    <w:p w:rsidR="008972DB" w:rsidRPr="001A35CE" w:rsidRDefault="008972DB" w:rsidP="002A13FB">
      <w:pPr>
        <w:ind w:left="6237"/>
        <w:jc w:val="center"/>
        <w:rPr>
          <w:kern w:val="2"/>
          <w:sz w:val="28"/>
          <w:szCs w:val="28"/>
        </w:rPr>
      </w:pPr>
      <w:r w:rsidRPr="001A35CE">
        <w:rPr>
          <w:rFonts w:eastAsia="Arial Unicode MS"/>
          <w:bCs/>
          <w:kern w:val="2"/>
          <w:sz w:val="28"/>
          <w:szCs w:val="28"/>
        </w:rPr>
        <w:t>Ростовской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области</w:t>
      </w:r>
    </w:p>
    <w:p w:rsidR="002A13FB" w:rsidRPr="000F3274" w:rsidRDefault="002A13FB" w:rsidP="002A13FB">
      <w:pPr>
        <w:ind w:left="6237"/>
        <w:jc w:val="center"/>
        <w:rPr>
          <w:sz w:val="28"/>
        </w:rPr>
      </w:pPr>
      <w:r w:rsidRPr="000F3274">
        <w:rPr>
          <w:sz w:val="28"/>
        </w:rPr>
        <w:t xml:space="preserve">от </w:t>
      </w:r>
      <w:r w:rsidR="00AC79B5">
        <w:rPr>
          <w:sz w:val="28"/>
        </w:rPr>
        <w:t>16.01.2017</w:t>
      </w:r>
      <w:r w:rsidRPr="000F3274">
        <w:rPr>
          <w:sz w:val="28"/>
        </w:rPr>
        <w:t xml:space="preserve"> № </w:t>
      </w:r>
      <w:r w:rsidR="00AC79B5">
        <w:rPr>
          <w:sz w:val="28"/>
        </w:rPr>
        <w:t>11</w:t>
      </w: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ПЕРЕЧЕНЬ</w:t>
      </w: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приоритетных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социально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значимых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рынков</w:t>
      </w: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для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</w:p>
    <w:p w:rsidR="008972DB" w:rsidRPr="001A35CE" w:rsidRDefault="008972DB" w:rsidP="001A35CE">
      <w:pPr>
        <w:rPr>
          <w:kern w:val="2"/>
          <w:sz w:val="28"/>
          <w:szCs w:val="28"/>
        </w:rPr>
      </w:pPr>
    </w:p>
    <w:p w:rsidR="008972DB" w:rsidRPr="001A35CE" w:rsidRDefault="008972DB" w:rsidP="001A35CE">
      <w:pPr>
        <w:autoSpaceDE w:val="0"/>
        <w:autoSpaceDN w:val="0"/>
        <w:adjustRightInd w:val="0"/>
        <w:rPr>
          <w:kern w:val="2"/>
          <w:sz w:val="28"/>
          <w:szCs w:val="28"/>
        </w:rPr>
      </w:pP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Приоритетными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социально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значимыми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рынками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для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являются: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дошкольного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образования.</w:t>
      </w:r>
      <w:r w:rsidR="001A35CE" w:rsidRPr="001A35CE">
        <w:rPr>
          <w:kern w:val="2"/>
          <w:sz w:val="28"/>
          <w:szCs w:val="28"/>
        </w:rPr>
        <w:t xml:space="preserve"> 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2.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детского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отдыха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оздоровления.</w:t>
      </w:r>
      <w:r w:rsidR="001A35CE" w:rsidRPr="001A35CE">
        <w:rPr>
          <w:kern w:val="2"/>
          <w:sz w:val="28"/>
          <w:szCs w:val="28"/>
        </w:rPr>
        <w:t xml:space="preserve"> 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3.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дополнительного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образования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детей.</w:t>
      </w:r>
      <w:r w:rsidR="001A35CE" w:rsidRPr="001A35CE">
        <w:rPr>
          <w:kern w:val="2"/>
          <w:sz w:val="28"/>
          <w:szCs w:val="28"/>
        </w:rPr>
        <w:t xml:space="preserve"> 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4.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медицинских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услуг.</w:t>
      </w:r>
      <w:r w:rsidR="001A35CE" w:rsidRPr="001A35CE">
        <w:rPr>
          <w:kern w:val="2"/>
          <w:sz w:val="28"/>
          <w:szCs w:val="28"/>
        </w:rPr>
        <w:t xml:space="preserve"> 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5.</w:t>
      </w:r>
      <w:r w:rsidR="00A52C88">
        <w:rPr>
          <w:kern w:val="2"/>
          <w:sz w:val="28"/>
          <w:szCs w:val="28"/>
        </w:rPr>
        <w:t> 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психолого-педагогического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сопровождения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детей</w:t>
      </w:r>
      <w:r w:rsidR="001A35CE" w:rsidRPr="001A35CE">
        <w:rPr>
          <w:kern w:val="2"/>
          <w:sz w:val="28"/>
          <w:szCs w:val="28"/>
        </w:rPr>
        <w:t xml:space="preserve"> </w:t>
      </w:r>
      <w:r w:rsidR="00A52C88">
        <w:rPr>
          <w:kern w:val="2"/>
          <w:sz w:val="28"/>
          <w:szCs w:val="28"/>
        </w:rPr>
        <w:br/>
      </w:r>
      <w:r w:rsidRPr="001A35CE">
        <w:rPr>
          <w:kern w:val="2"/>
          <w:sz w:val="28"/>
          <w:szCs w:val="28"/>
        </w:rPr>
        <w:t>с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ограниченными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возможностями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здоровья.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6.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сфере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культуры.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7.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жилищно-коммунального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хозяйства.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8.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Розничная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торговля.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9.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перевозок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пассажиров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наземным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транспортом.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10.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связи.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11.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услуг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социального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обслуживания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населения.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12.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животноводства.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13.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жилищного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строительства.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14.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Рынок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промышленного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производства.</w:t>
      </w:r>
    </w:p>
    <w:p w:rsidR="008972DB" w:rsidRPr="001A35CE" w:rsidRDefault="008972DB" w:rsidP="001A35CE">
      <w:pPr>
        <w:ind w:firstLine="709"/>
        <w:jc w:val="both"/>
        <w:rPr>
          <w:kern w:val="2"/>
          <w:sz w:val="28"/>
          <w:szCs w:val="28"/>
        </w:rPr>
      </w:pPr>
    </w:p>
    <w:p w:rsidR="008972DB" w:rsidRPr="001A35CE" w:rsidRDefault="008972DB" w:rsidP="001A35CE">
      <w:pPr>
        <w:rPr>
          <w:kern w:val="2"/>
          <w:sz w:val="28"/>
          <w:szCs w:val="28"/>
        </w:rPr>
      </w:pPr>
    </w:p>
    <w:p w:rsidR="008972DB" w:rsidRPr="001A35CE" w:rsidRDefault="008972DB" w:rsidP="001A35CE">
      <w:pPr>
        <w:rPr>
          <w:kern w:val="2"/>
          <w:sz w:val="28"/>
          <w:szCs w:val="28"/>
        </w:rPr>
      </w:pPr>
    </w:p>
    <w:p w:rsidR="002A13FB" w:rsidRDefault="002A13FB" w:rsidP="002A13FB">
      <w:pPr>
        <w:rPr>
          <w:sz w:val="28"/>
          <w:szCs w:val="28"/>
        </w:rPr>
      </w:pPr>
      <w:r>
        <w:rPr>
          <w:sz w:val="28"/>
          <w:szCs w:val="28"/>
        </w:rPr>
        <w:t xml:space="preserve">           Начальник управления</w:t>
      </w:r>
    </w:p>
    <w:p w:rsidR="002A13FB" w:rsidRDefault="002A13FB" w:rsidP="002A13FB">
      <w:pPr>
        <w:rPr>
          <w:sz w:val="28"/>
          <w:szCs w:val="28"/>
        </w:rPr>
      </w:pPr>
      <w:r>
        <w:rPr>
          <w:sz w:val="28"/>
          <w:szCs w:val="28"/>
        </w:rPr>
        <w:t xml:space="preserve">  документационного обеспечения</w:t>
      </w:r>
    </w:p>
    <w:p w:rsidR="002A13FB" w:rsidRDefault="002A13FB" w:rsidP="002A13FB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</w:t>
      </w:r>
      <w:r>
        <w:rPr>
          <w:sz w:val="28"/>
        </w:rPr>
        <w:t xml:space="preserve">       </w:t>
      </w:r>
      <w:r w:rsidRPr="00840A9C">
        <w:rPr>
          <w:sz w:val="28"/>
        </w:rPr>
        <w:t xml:space="preserve">              </w:t>
      </w:r>
      <w:r w:rsidR="003866D0">
        <w:rPr>
          <w:sz w:val="28"/>
        </w:rPr>
        <w:t xml:space="preserve">       </w:t>
      </w:r>
      <w:r w:rsidRPr="00840A9C">
        <w:rPr>
          <w:sz w:val="28"/>
        </w:rPr>
        <w:t xml:space="preserve">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8972DB" w:rsidRPr="001A35CE" w:rsidRDefault="008972DB" w:rsidP="001A35CE">
      <w:pPr>
        <w:rPr>
          <w:kern w:val="2"/>
          <w:sz w:val="28"/>
          <w:szCs w:val="28"/>
        </w:rPr>
      </w:pPr>
    </w:p>
    <w:p w:rsidR="008972DB" w:rsidRPr="001A35CE" w:rsidRDefault="008972DB" w:rsidP="001A35CE">
      <w:pPr>
        <w:rPr>
          <w:kern w:val="2"/>
          <w:sz w:val="28"/>
          <w:szCs w:val="28"/>
        </w:rPr>
      </w:pPr>
    </w:p>
    <w:p w:rsidR="008972DB" w:rsidRPr="001A35CE" w:rsidRDefault="008972DB" w:rsidP="001A35CE">
      <w:pPr>
        <w:rPr>
          <w:kern w:val="2"/>
          <w:sz w:val="28"/>
          <w:szCs w:val="28"/>
        </w:rPr>
        <w:sectPr w:rsidR="008972DB" w:rsidRPr="001A35CE" w:rsidSect="00145656">
          <w:footerReference w:type="default" r:id="rId10"/>
          <w:pgSz w:w="11906" w:h="16838" w:code="9"/>
          <w:pgMar w:top="709" w:right="851" w:bottom="1134" w:left="1304" w:header="709" w:footer="709" w:gutter="0"/>
          <w:cols w:space="708"/>
          <w:docGrid w:linePitch="360"/>
        </w:sectPr>
      </w:pPr>
    </w:p>
    <w:p w:rsidR="008972DB" w:rsidRPr="001A35CE" w:rsidRDefault="008972DB" w:rsidP="002A13FB">
      <w:pPr>
        <w:ind w:left="10773"/>
        <w:jc w:val="center"/>
        <w:rPr>
          <w:kern w:val="2"/>
          <w:sz w:val="28"/>
          <w:szCs w:val="28"/>
        </w:rPr>
      </w:pPr>
      <w:r w:rsidRPr="001A35CE">
        <w:rPr>
          <w:rFonts w:eastAsia="Arial Unicode MS"/>
          <w:bCs/>
          <w:kern w:val="2"/>
          <w:sz w:val="28"/>
          <w:szCs w:val="28"/>
        </w:rPr>
        <w:t>Приложение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№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2</w:t>
      </w:r>
    </w:p>
    <w:p w:rsidR="008972DB" w:rsidRPr="001A35CE" w:rsidRDefault="008972DB" w:rsidP="002A13FB">
      <w:pPr>
        <w:ind w:left="10773"/>
        <w:jc w:val="center"/>
        <w:rPr>
          <w:rFonts w:eastAsia="Arial Unicode MS"/>
          <w:bCs/>
          <w:kern w:val="2"/>
          <w:sz w:val="28"/>
          <w:szCs w:val="28"/>
        </w:rPr>
      </w:pPr>
      <w:r w:rsidRPr="001A35CE">
        <w:rPr>
          <w:rFonts w:eastAsia="Arial Unicode MS"/>
          <w:bCs/>
          <w:kern w:val="2"/>
          <w:sz w:val="28"/>
          <w:szCs w:val="28"/>
        </w:rPr>
        <w:t>к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постановлению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="002A13FB">
        <w:rPr>
          <w:rFonts w:eastAsia="Arial Unicode MS"/>
          <w:bCs/>
          <w:kern w:val="2"/>
          <w:sz w:val="28"/>
          <w:szCs w:val="28"/>
        </w:rPr>
        <w:br/>
      </w:r>
      <w:r w:rsidRPr="001A35CE">
        <w:rPr>
          <w:rFonts w:eastAsia="Arial Unicode MS"/>
          <w:bCs/>
          <w:kern w:val="2"/>
          <w:sz w:val="28"/>
          <w:szCs w:val="28"/>
        </w:rPr>
        <w:t>Правительства</w:t>
      </w:r>
    </w:p>
    <w:p w:rsidR="008972DB" w:rsidRPr="001A35CE" w:rsidRDefault="008972DB" w:rsidP="002A13FB">
      <w:pPr>
        <w:ind w:left="10773"/>
        <w:jc w:val="center"/>
        <w:rPr>
          <w:kern w:val="2"/>
          <w:sz w:val="28"/>
          <w:szCs w:val="28"/>
        </w:rPr>
      </w:pPr>
      <w:r w:rsidRPr="001A35CE">
        <w:rPr>
          <w:rFonts w:eastAsia="Arial Unicode MS"/>
          <w:bCs/>
          <w:kern w:val="2"/>
          <w:sz w:val="28"/>
          <w:szCs w:val="28"/>
        </w:rPr>
        <w:t>Ростовской</w:t>
      </w:r>
      <w:r w:rsidR="001A35CE" w:rsidRPr="001A35CE">
        <w:rPr>
          <w:rFonts w:eastAsia="Arial Unicode MS"/>
          <w:bCs/>
          <w:kern w:val="2"/>
          <w:sz w:val="28"/>
          <w:szCs w:val="28"/>
        </w:rPr>
        <w:t xml:space="preserve"> </w:t>
      </w:r>
      <w:r w:rsidRPr="001A35CE">
        <w:rPr>
          <w:rFonts w:eastAsia="Arial Unicode MS"/>
          <w:bCs/>
          <w:kern w:val="2"/>
          <w:sz w:val="28"/>
          <w:szCs w:val="28"/>
        </w:rPr>
        <w:t>области</w:t>
      </w:r>
    </w:p>
    <w:p w:rsidR="002A13FB" w:rsidRPr="0038399E" w:rsidRDefault="002A13FB" w:rsidP="002A13FB">
      <w:pPr>
        <w:ind w:left="10773"/>
        <w:jc w:val="center"/>
        <w:rPr>
          <w:sz w:val="28"/>
        </w:rPr>
      </w:pPr>
      <w:r w:rsidRPr="0038399E">
        <w:rPr>
          <w:sz w:val="28"/>
        </w:rPr>
        <w:t xml:space="preserve">от </w:t>
      </w:r>
      <w:r w:rsidR="00AC79B5">
        <w:rPr>
          <w:sz w:val="28"/>
        </w:rPr>
        <w:t>16.01.2017</w:t>
      </w:r>
      <w:r w:rsidRPr="0038399E">
        <w:rPr>
          <w:sz w:val="28"/>
        </w:rPr>
        <w:t xml:space="preserve"> № </w:t>
      </w:r>
      <w:r w:rsidR="00AC79B5">
        <w:rPr>
          <w:sz w:val="28"/>
        </w:rPr>
        <w:t>11</w:t>
      </w: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ПЛАН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МЕРОПРИЯТИЙ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(«ДОРОЖНАЯ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КАРТА»)</w:t>
      </w:r>
    </w:p>
    <w:p w:rsidR="008972DB" w:rsidRPr="001A35CE" w:rsidRDefault="008972DB" w:rsidP="001A35CE">
      <w:pPr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содействию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развитию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конкуренции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  <w:r w:rsidR="008834B2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на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2017</w:t>
      </w:r>
      <w:r w:rsidR="008834B2">
        <w:rPr>
          <w:kern w:val="2"/>
          <w:sz w:val="28"/>
          <w:szCs w:val="28"/>
        </w:rPr>
        <w:t xml:space="preserve"> – </w:t>
      </w:r>
      <w:r w:rsidRPr="001A35CE">
        <w:rPr>
          <w:kern w:val="2"/>
          <w:sz w:val="28"/>
          <w:szCs w:val="28"/>
        </w:rPr>
        <w:t>2020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годы</w:t>
      </w:r>
    </w:p>
    <w:p w:rsidR="008972DB" w:rsidRPr="001A35CE" w:rsidRDefault="008972DB" w:rsidP="001A35CE">
      <w:pPr>
        <w:rPr>
          <w:kern w:val="2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4556"/>
        <w:gridCol w:w="3137"/>
        <w:gridCol w:w="3419"/>
        <w:gridCol w:w="2424"/>
      </w:tblGrid>
      <w:tr w:rsidR="001A35CE" w:rsidRPr="001A35CE" w:rsidTr="008834B2">
        <w:tc>
          <w:tcPr>
            <w:tcW w:w="1535" w:type="dxa"/>
            <w:hideMark/>
          </w:tcPr>
          <w:p w:rsidR="008834B2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п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4556" w:type="dxa"/>
            <w:hideMark/>
          </w:tcPr>
          <w:p w:rsidR="008834B2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Наименование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мероприятия</w:t>
            </w:r>
          </w:p>
        </w:tc>
        <w:tc>
          <w:tcPr>
            <w:tcW w:w="3137" w:type="dxa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Ключевое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событие</w:t>
            </w:r>
            <w:r w:rsidR="008834B2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/</w:t>
            </w:r>
            <w:r w:rsidR="008834B2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результат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</w:p>
        </w:tc>
        <w:tc>
          <w:tcPr>
            <w:tcW w:w="3419" w:type="dxa"/>
            <w:hideMark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Ответственный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</w:t>
            </w:r>
          </w:p>
        </w:tc>
        <w:tc>
          <w:tcPr>
            <w:tcW w:w="2424" w:type="dxa"/>
            <w:hideMark/>
          </w:tcPr>
          <w:p w:rsidR="008834B2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Срок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исполнения</w:t>
            </w:r>
          </w:p>
        </w:tc>
      </w:tr>
    </w:tbl>
    <w:p w:rsidR="008834B2" w:rsidRPr="008834B2" w:rsidRDefault="008834B2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35"/>
        <w:gridCol w:w="4556"/>
        <w:gridCol w:w="3137"/>
        <w:gridCol w:w="3419"/>
        <w:gridCol w:w="2424"/>
      </w:tblGrid>
      <w:tr w:rsidR="001A35CE" w:rsidRPr="001A35CE" w:rsidTr="008834B2">
        <w:trPr>
          <w:tblHeader/>
        </w:trPr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приоритетных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значимых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tabs>
                <w:tab w:val="left" w:pos="0"/>
              </w:tabs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состоянию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декабря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г.,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данным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федерального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сегмента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«Электронная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очередь»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доступность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100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(Российская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Федерация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99,18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Южный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ф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едеральный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округ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99,98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процента),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83,54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(Российская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Федерация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75,83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Южный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ф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едеральный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округ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79,81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процента).</w:t>
            </w:r>
            <w:proofErr w:type="gramEnd"/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Численность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охваченных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образованием,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180,9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29,7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человек.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период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с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2013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по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год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создано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свыше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дополнительных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14,4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итогам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года.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предоставляют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503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различных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типов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собственности,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посещают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180,9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29,7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числе: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406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предоставляющих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(177,2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детей);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государственные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образовательные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(163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ребенка);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ведомственных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(570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детей);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частные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(1,1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детей);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62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предоставляющие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присмотру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уходу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(1,9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детей).</w:t>
            </w:r>
          </w:p>
          <w:p w:rsidR="008972DB" w:rsidRPr="001A35CE" w:rsidRDefault="008972DB" w:rsidP="00C51672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Численность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обеспеченных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желаемой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датой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зачисления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сентября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текущего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учебного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(актуальная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очередь)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составила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5,1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возрасте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человек.</w:t>
            </w:r>
          </w:p>
          <w:p w:rsidR="008972DB" w:rsidRPr="001A35CE" w:rsidRDefault="008972DB" w:rsidP="00C51672">
            <w:pPr>
              <w:tabs>
                <w:tab w:val="left" w:pos="0"/>
              </w:tabs>
              <w:ind w:firstLine="709"/>
              <w:contextualSpacing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целях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обеспечения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доступности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рамках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реализации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Плана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мероприятий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(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«дорожной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карты»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)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запланировано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создание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3,5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дошкольных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мест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совещаний,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«</w:t>
            </w:r>
            <w:r w:rsidRPr="001A35CE">
              <w:rPr>
                <w:kern w:val="2"/>
                <w:sz w:val="28"/>
                <w:szCs w:val="28"/>
              </w:rPr>
              <w:t>круглых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столов</w:t>
            </w:r>
            <w:r w:rsidR="0048404E">
              <w:rPr>
                <w:kern w:val="2"/>
                <w:sz w:val="28"/>
                <w:szCs w:val="28"/>
              </w:rPr>
              <w:t>»</w:t>
            </w:r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вебинаров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1.1.2.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Всероссийской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научно-практической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конференции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«Ребенок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детстве: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научный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художественный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других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конференций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улучшение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федеральное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автономное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высшего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«Южный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университет»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Систематизация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индивидуальных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(кроме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зарегистрированных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автоматизированной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«Электронный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сад»</w:t>
            </w:r>
            <w:proofErr w:type="gramEnd"/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сектора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информированию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методической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прохождению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процедуры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индивидуальными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предпринимателями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надзору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контролю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охвачено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300,0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человек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возрасте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834B2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заявок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санаторно-оздоровительные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находящихся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жизненной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исполняются.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Отдых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проводятся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загородных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санаторных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дневным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пребыванием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Организуются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пришкольные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площадки,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палаточные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тематические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походы,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экскурсии.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ведется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Реестр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отдыха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оздоровления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ежегодно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актуализируется.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Реестра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вошли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935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оздоровительных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действующих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территории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них: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загородных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оздоровительных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лагеря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(форма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собственности: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государственная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13,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частная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12,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5);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санаторных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оздоровительных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лагерей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(форма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собственности: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частная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12,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3);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885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лагерей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дневным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пребыванием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базе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организаций;</w:t>
            </w:r>
          </w:p>
          <w:p w:rsidR="008972DB" w:rsidRPr="001A35CE" w:rsidRDefault="008972DB" w:rsidP="00732958">
            <w:pPr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палаточных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лагеря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1.2.1.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межведомственных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«</w:t>
            </w:r>
            <w:r w:rsidRPr="001A35CE">
              <w:rPr>
                <w:kern w:val="2"/>
                <w:sz w:val="28"/>
                <w:szCs w:val="28"/>
              </w:rPr>
              <w:t>круглых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столов</w:t>
            </w:r>
            <w:r w:rsidR="0048404E">
              <w:rPr>
                <w:kern w:val="2"/>
                <w:sz w:val="28"/>
                <w:szCs w:val="28"/>
              </w:rPr>
              <w:t>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степени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удовлетворенности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родителей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самостоятельного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выбора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012CAA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012CAA">
              <w:rPr>
                <w:kern w:val="2"/>
                <w:sz w:val="28"/>
                <w:szCs w:val="28"/>
              </w:rPr>
              <w:t xml:space="preserve"> – </w:t>
            </w:r>
            <w:r w:rsidRPr="001A35CE">
              <w:rPr>
                <w:kern w:val="2"/>
                <w:sz w:val="28"/>
                <w:szCs w:val="28"/>
              </w:rPr>
              <w:t>2018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годы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1.2.2.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Международной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интернет-конференции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«Международный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образовательный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туризм: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научные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социокультурные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аспекты»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сотрудников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профессиональных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компетенций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сотрудников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детей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федеральное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автономное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высшего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«Южный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университет»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1.2.3.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доступность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1.2.4.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смен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семейного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доступность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смен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семейного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насчитывается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519,8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Охват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возрасте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75,7</w:t>
            </w:r>
            <w:r w:rsidR="0048404E">
              <w:rPr>
                <w:kern w:val="2"/>
                <w:sz w:val="28"/>
                <w:szCs w:val="28"/>
              </w:rPr>
              <w:t>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процента.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функционируют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196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193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структуре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589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объединений,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где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занимаются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241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739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детей.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распределяются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следующим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образом: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многопрофильные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78;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естественно-научные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9;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технические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23</w:t>
            </w:r>
            <w:r w:rsidR="0048404E">
              <w:rPr>
                <w:kern w:val="2"/>
                <w:sz w:val="28"/>
                <w:szCs w:val="28"/>
              </w:rPr>
              <w:t>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туристско-краеведческие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физкультурно-спортивные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73;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другие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9.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школ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функционируют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445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кружков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посещают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260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760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обучающихся.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Фактическое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расчете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составляе</w:t>
            </w:r>
            <w:r w:rsidRPr="001A35CE">
              <w:rPr>
                <w:kern w:val="2"/>
                <w:sz w:val="28"/>
                <w:szCs w:val="28"/>
              </w:rPr>
              <w:t>т: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61;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74.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Фактическое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расчете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составляе</w:t>
            </w:r>
            <w:r w:rsidRPr="001A35CE">
              <w:rPr>
                <w:kern w:val="2"/>
                <w:sz w:val="28"/>
                <w:szCs w:val="28"/>
              </w:rPr>
              <w:t>т: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56;</w:t>
            </w:r>
          </w:p>
          <w:p w:rsidR="008972DB" w:rsidRPr="001A35CE" w:rsidRDefault="008972DB" w:rsidP="002B48A7">
            <w:pPr>
              <w:spacing w:line="228" w:lineRule="auto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45.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1.3.1.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конференций,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мастер-классов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заседаний: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научно-технического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творчества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молодежи;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экологического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просвещения;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туризма;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художественного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творчества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общеобразовательным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программам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1.3.2.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мастерства: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областной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«Лучший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педагогический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образования»;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областной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этап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В</w:t>
            </w:r>
            <w:r w:rsidRPr="001A35CE">
              <w:rPr>
                <w:kern w:val="2"/>
                <w:sz w:val="28"/>
                <w:szCs w:val="28"/>
              </w:rPr>
              <w:t>сероссийского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«Сердце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отдаю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детям»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поднятие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престижа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тиражирование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лучших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1.3.3.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Систематизация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индивидуальных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(кроме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общеобразовательным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сектора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физической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спорту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480026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1.3.4.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Лицензирование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установленном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порядке</w:t>
            </w:r>
          </w:p>
        </w:tc>
        <w:tc>
          <w:tcPr>
            <w:tcW w:w="3137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охваченных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48404E" w:rsidP="001A35CE">
            <w:pPr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Р</w:t>
            </w:r>
            <w:r w:rsidR="008972DB" w:rsidRPr="001A35CE">
              <w:rPr>
                <w:kern w:val="2"/>
                <w:sz w:val="28"/>
                <w:szCs w:val="28"/>
              </w:rPr>
              <w:t>егиональная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служба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надзору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контролю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Переход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важной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задачей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реформировании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Только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элементы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могут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значительно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повысить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эффективность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оптимизировать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затраты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повысить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соперничества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технологиях,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стоимости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позволят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решить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задачи,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стоящие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отечественным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показателей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продолжительности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жизни.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отмечается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тенденция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834B2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(32</w:t>
            </w:r>
            <w:r w:rsidR="0048404E">
              <w:rPr>
                <w:kern w:val="2"/>
                <w:sz w:val="28"/>
                <w:szCs w:val="28"/>
              </w:rPr>
              <w:t>,00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государственный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сектор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(68</w:t>
            </w:r>
            <w:r w:rsidR="0048404E">
              <w:rPr>
                <w:kern w:val="2"/>
                <w:sz w:val="28"/>
                <w:szCs w:val="28"/>
              </w:rPr>
              <w:t>,00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</w:t>
            </w:r>
            <w:r w:rsidR="0048404E">
              <w:rPr>
                <w:kern w:val="2"/>
                <w:sz w:val="28"/>
                <w:szCs w:val="28"/>
              </w:rPr>
              <w:t>оцента</w:t>
            </w:r>
            <w:r w:rsidRPr="001A35CE">
              <w:rPr>
                <w:kern w:val="2"/>
                <w:sz w:val="28"/>
                <w:szCs w:val="28"/>
              </w:rPr>
              <w:t>)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Информирование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через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Территориальный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Включение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</w:t>
            </w: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Территориальный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методической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помощи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желающим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учавствовать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Территориальный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помощи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1.4.5.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48404E" w:rsidP="001A35CE">
            <w:pPr>
              <w:contextualSpacing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</w:t>
            </w:r>
            <w:r w:rsidR="008972DB" w:rsidRPr="001A35CE">
              <w:rPr>
                <w:kern w:val="2"/>
                <w:sz w:val="28"/>
                <w:szCs w:val="28"/>
              </w:rPr>
              <w:t>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="008972DB" w:rsidRPr="001A35CE">
              <w:rPr>
                <w:kern w:val="2"/>
                <w:sz w:val="28"/>
                <w:szCs w:val="28"/>
              </w:rPr>
              <w:t>государственной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целях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характеристики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Территориальный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8834B2">
            <w:pPr>
              <w:contextualSpacing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1.5.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8834B2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функционирует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психолого-педагогической,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медицинской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социальной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помощи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(далее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центр),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включающая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один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областной.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системе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региона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организована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деятельность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ПМПК.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Сеть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ПМПК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развивается,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так</w:t>
            </w:r>
            <w:r w:rsidR="0048404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,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настоящее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время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работает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одна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областная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ПМПК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38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муниципальных</w:t>
            </w:r>
            <w:proofErr w:type="gramEnd"/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>ПМПК.</w:t>
            </w:r>
            <w:r w:rsidR="001A35CE" w:rsidRPr="001A35CE">
              <w:rPr>
                <w:rFonts w:eastAsia="Calibri"/>
                <w:b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психолого-медико-педагогических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комиссий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проводится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обследование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тысяч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готовятся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рекомендации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образования.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Численность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специальных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организациях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6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142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ребенка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ОВЗ,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них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8834B2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429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Специальные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расширяют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спектр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своих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услуг: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открыты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классы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расстройствами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аутистического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спектра,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классы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синдромом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Дауна,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умеренными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формами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интеллектуальных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нарушений.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2009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работает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сопровождения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инклюзивного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образования.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организовано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дистанционное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(559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рабочих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мест).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Дистанционное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осуществляется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двух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формах: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посредством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реализации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основных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дополнительных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общеразвивающих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программ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зачисленных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дистанционного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образования;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посредством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сетевой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обучающихся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индивидуально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учреждениях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обучающихся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дистанционного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Доступность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ОВЗ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обеспечена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специальных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классах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школ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инклюзивного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обучения,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школах: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функционирует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143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специальных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класса,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обучается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576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ОВЗ,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–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152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ребенка-инвалида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(классы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открыты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слабослышащих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интеллектуальными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нарушениями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нарушениями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опорно-двигательного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аппарата);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обычных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классах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школ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инклюзивно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обучается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009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ОВЗ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506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инвалидов.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января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48404E">
              <w:rPr>
                <w:rFonts w:eastAsia="Calibri"/>
                <w:kern w:val="2"/>
                <w:sz w:val="28"/>
                <w:szCs w:val="28"/>
                <w:lang w:eastAsia="en-US"/>
              </w:rPr>
              <w:t>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созданы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условия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инклюзивного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детей-инвалидов,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количества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общеобразовательных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территории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процентов.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каждая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пятая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школа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готова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принять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ребенка-инвалида.</w:t>
            </w:r>
          </w:p>
          <w:p w:rsidR="008972DB" w:rsidRPr="001A35CE" w:rsidRDefault="008972DB" w:rsidP="0048404E">
            <w:pPr>
              <w:ind w:firstLine="709"/>
              <w:contextualSpacing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>работаю</w:t>
            </w:r>
            <w:r w:rsidRPr="001A35CE">
              <w:rPr>
                <w:kern w:val="2"/>
                <w:sz w:val="28"/>
                <w:szCs w:val="28"/>
              </w:rPr>
              <w:t>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</w:t>
            </w:r>
            <w:r w:rsidR="0048404E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011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педагогов-психологов.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педагогов-психологов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увеличивается.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настоящее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время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="0048404E">
              <w:rPr>
                <w:kern w:val="2"/>
                <w:sz w:val="28"/>
                <w:szCs w:val="28"/>
              </w:rPr>
              <w:t>обеспечены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ставками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педагогов-психологов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1.5.1.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совещаний,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научно-практических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конференций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proofErr w:type="spellStart"/>
            <w:r w:rsidRPr="001A35CE">
              <w:rPr>
                <w:kern w:val="2"/>
                <w:sz w:val="28"/>
                <w:szCs w:val="28"/>
              </w:rPr>
              <w:t>государственно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e</w:t>
            </w:r>
            <w:proofErr w:type="spellEnd"/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бюджетноe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учреждениe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«Ростовский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институт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образования»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1.5.2.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Разработка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утверждение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стандартов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регламентов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принципа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«одного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окна»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взаимодействия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раннего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strike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  <w:p w:rsidR="008972DB" w:rsidRPr="001A35CE" w:rsidRDefault="008972DB" w:rsidP="001A35CE">
            <w:pPr>
              <w:rPr>
                <w:strike/>
                <w:kern w:val="2"/>
                <w:sz w:val="28"/>
                <w:szCs w:val="28"/>
              </w:rPr>
            </w:pP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1.5.3.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помощи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strike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1.5.4.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актуализация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перечня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(немуниципальных)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диагностики,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реабилитации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получение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1.6.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Сегодня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музея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(как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юридическое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лицо),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подчинения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(государственный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музей-заповедник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М.А.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Шолохова),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музеев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подчинения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подчинения.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музеев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музеями-заповедниками,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призванными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сохранять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историко-культурные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природные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особого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наследия.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Важное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обслуживании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занимают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библиотеки,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48404E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066,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них</w:t>
            </w:r>
            <w:r w:rsidR="0048404E">
              <w:rPr>
                <w:kern w:val="2"/>
                <w:sz w:val="28"/>
                <w:szCs w:val="28"/>
              </w:rPr>
              <w:t>: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8404E">
              <w:rPr>
                <w:kern w:val="2"/>
                <w:sz w:val="28"/>
                <w:szCs w:val="28"/>
              </w:rPr>
              <w:t xml:space="preserve">– </w:t>
            </w:r>
            <w:r w:rsidRPr="001A35CE">
              <w:rPr>
                <w:kern w:val="2"/>
                <w:sz w:val="28"/>
                <w:szCs w:val="28"/>
              </w:rPr>
              <w:t>государственные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областные,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48404E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063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0A2795">
              <w:rPr>
                <w:kern w:val="2"/>
                <w:sz w:val="28"/>
                <w:szCs w:val="28"/>
              </w:rPr>
              <w:t>– муниципальные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библиотек</w:t>
            </w:r>
            <w:r w:rsidR="000A2795">
              <w:rPr>
                <w:kern w:val="2"/>
                <w:sz w:val="28"/>
                <w:szCs w:val="28"/>
              </w:rPr>
              <w:t>и</w:t>
            </w:r>
            <w:r w:rsidRPr="001A35CE">
              <w:rPr>
                <w:kern w:val="2"/>
                <w:sz w:val="28"/>
                <w:szCs w:val="28"/>
              </w:rPr>
              <w:t>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Донская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сильна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традициями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классической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музыки.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4E5978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консерватория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С.В.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Рахманинова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филармония.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Театральное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искусство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представлено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театрами,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являющимися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автономными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учреждениями.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театров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Ростове-на-Дону,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Новочеркасске,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Таганроге,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Шахты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Новошахтинске</w:t>
            </w:r>
            <w:proofErr w:type="gramEnd"/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1.6.1.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перечня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разрезе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образований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анализ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1.6.2.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расходов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областного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распределяемых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выделяемых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распределяемым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ресурсам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325B3D">
            <w:pPr>
              <w:pageBreakBefore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сфере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жилищных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действуют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449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управляющих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управлении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находятся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597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многоквартирных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(52,7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количества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многоквартирных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домов),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387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товариществ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собственников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жилья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/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жилищно-строительных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кооперативов,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управлении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892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многоквартирных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(14,4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количества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многоквартирных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домов).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указанной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сфере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применяются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новые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механизмы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жилищных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это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лицензирование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управляющих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лицензионный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контроль.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получившие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раскрыли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установленным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стандартом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дальнейшем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получивших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лицензионный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контроль.</w:t>
            </w:r>
          </w:p>
          <w:p w:rsidR="008972DB" w:rsidRPr="001A35CE" w:rsidRDefault="008972DB" w:rsidP="00732958">
            <w:pPr>
              <w:shd w:val="clear" w:color="auto" w:fill="FFFFFF"/>
              <w:ind w:firstLine="709"/>
              <w:jc w:val="both"/>
              <w:rPr>
                <w:kern w:val="2"/>
                <w:sz w:val="28"/>
                <w:szCs w:val="28"/>
                <w:shd w:val="clear" w:color="auto" w:fill="FFFFFF"/>
              </w:rPr>
            </w:pP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Централизованным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водоснабжением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охвачено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90,7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населения: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972DB" w:rsidRPr="001A35CE" w:rsidRDefault="008972DB" w:rsidP="00732958">
            <w:pPr>
              <w:shd w:val="clear" w:color="auto" w:fill="FFFFFF"/>
              <w:ind w:firstLine="709"/>
              <w:jc w:val="both"/>
              <w:rPr>
                <w:kern w:val="2"/>
                <w:sz w:val="28"/>
                <w:szCs w:val="28"/>
                <w:shd w:val="clear" w:color="auto" w:fill="FFFFFF"/>
              </w:rPr>
            </w:pP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городах</w:t>
            </w:r>
            <w:proofErr w:type="gramEnd"/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96,6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сельской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местности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79,2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Так,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количество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сельских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пунктов,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имеющих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централизованное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водоснабжение,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1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252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55,3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от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числа.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972DB" w:rsidRPr="001A35CE" w:rsidRDefault="008972DB" w:rsidP="00732958">
            <w:pPr>
              <w:shd w:val="clear" w:color="auto" w:fill="FFFFFF"/>
              <w:ind w:firstLine="709"/>
              <w:jc w:val="both"/>
              <w:rPr>
                <w:kern w:val="2"/>
                <w:sz w:val="28"/>
                <w:szCs w:val="28"/>
                <w:shd w:val="clear" w:color="auto" w:fill="FFFFFF"/>
              </w:rPr>
            </w:pP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Износ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водоснабжения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от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30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до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80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процентов,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из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24</w:t>
            </w:r>
            <w:r w:rsidR="00E055E1">
              <w:rPr>
                <w:kern w:val="2"/>
                <w:sz w:val="28"/>
                <w:szCs w:val="28"/>
                <w:shd w:val="clear" w:color="auto" w:fill="FFFFFF"/>
              </w:rPr>
              <w:t> 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064,7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0A2795">
              <w:rPr>
                <w:kern w:val="2"/>
                <w:sz w:val="28"/>
                <w:szCs w:val="28"/>
                <w:shd w:val="clear" w:color="auto" w:fill="FFFFFF"/>
              </w:rPr>
              <w:t>километра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E055E1">
              <w:rPr>
                <w:kern w:val="2"/>
                <w:sz w:val="28"/>
                <w:szCs w:val="28"/>
                <w:shd w:val="clear" w:color="auto" w:fill="FFFFFF"/>
              </w:rPr>
              <w:br/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водопроводов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11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135,6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0A2795">
              <w:rPr>
                <w:kern w:val="2"/>
                <w:sz w:val="28"/>
                <w:szCs w:val="28"/>
                <w:shd w:val="clear" w:color="auto" w:fill="FFFFFF"/>
              </w:rPr>
              <w:t>километра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нуждаются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замене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(46,3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процента).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972DB" w:rsidRPr="001A35CE" w:rsidRDefault="008972DB" w:rsidP="00732958">
            <w:pPr>
              <w:shd w:val="clear" w:color="auto" w:fill="FFFFFF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из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282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пунктов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централизованные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канализации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имеют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только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92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E055E1">
              <w:rPr>
                <w:kern w:val="2"/>
                <w:sz w:val="28"/>
                <w:szCs w:val="28"/>
                <w:shd w:val="clear" w:color="auto" w:fill="FFFFFF"/>
              </w:rPr>
              <w:br/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(4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процента),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размещается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77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очистных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сооружений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канализации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по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очистке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хозяйственно-бытовых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сточных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вод.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Санитарно-техническое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состояние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40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процентов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сооружений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канализации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неудовлетворительное.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E055E1">
              <w:rPr>
                <w:kern w:val="2"/>
                <w:sz w:val="28"/>
                <w:szCs w:val="28"/>
                <w:shd w:val="clear" w:color="auto" w:fill="FFFFFF"/>
              </w:rPr>
              <w:br/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Из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5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155,0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0A2795">
              <w:rPr>
                <w:kern w:val="2"/>
                <w:sz w:val="28"/>
                <w:szCs w:val="28"/>
                <w:shd w:val="clear" w:color="auto" w:fill="FFFFFF"/>
              </w:rPr>
              <w:t>километра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канализационных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коллекторов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и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сетей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–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2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153,8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="000A2795">
              <w:rPr>
                <w:kern w:val="2"/>
                <w:sz w:val="28"/>
                <w:szCs w:val="28"/>
                <w:shd w:val="clear" w:color="auto" w:fill="FFFFFF"/>
              </w:rPr>
              <w:t>километра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нуждаются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в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замене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(41,8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shd w:val="clear" w:color="auto" w:fill="FFFFFF"/>
              </w:rPr>
              <w:t>процента).</w:t>
            </w:r>
            <w:r w:rsidR="001A35CE" w:rsidRPr="001A35CE">
              <w:rPr>
                <w:kern w:val="2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территории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действует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922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источника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теплоснабжения.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Протяженность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тепловых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408,8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0A2795">
              <w:rPr>
                <w:rFonts w:eastAsia="Calibri"/>
                <w:kern w:val="2"/>
                <w:sz w:val="28"/>
                <w:szCs w:val="28"/>
                <w:lang w:eastAsia="en-US"/>
              </w:rPr>
              <w:t>километра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из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ветхих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238,8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километра.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Износ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тепловых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сетей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Централизованное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теплоснабжение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осуществляется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районах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регулируемой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устанавливаемых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тарифов,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стоимость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сдерживается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предельными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индексами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актуализация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этой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инспекция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Информирование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помещений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многоквартирных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домах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через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массовой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обязанностях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обязанностях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помещений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многоквартирных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домах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ответственного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как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многоквартирных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домов,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грамотности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своих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обязанностей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инспекция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неэффективным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управлением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проводится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целях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реконструкции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энергоэффективности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свойств;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направлено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уменьшение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износа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потерь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коммунальных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1.7.4.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«горячей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линии»,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электронной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прикрепления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файлов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фото-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видеосъемки)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сбора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нарушениях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проводится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приостановлений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эффективности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бесперебойного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населению;</w:t>
            </w:r>
            <w:proofErr w:type="gramEnd"/>
          </w:p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неправомерных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случаев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коммунальных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предупреждения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выполнения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своих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потребителями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инспекция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1.7.5.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раскрываемой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ресурсоснабжающими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требованиями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проводится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целях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открытости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прозрачности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аккумулирует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широкий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спектр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поступающей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различных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хозяйства;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направлено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нарушений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порядка,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способов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(или)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сроков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либо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объеме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Государственная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инспекция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1.8.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торговля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расчете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душу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(194,6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рублей)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возрос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уровню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1,8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превысив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аналогичный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(соответственно,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br/>
              <w:t>188,1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рублей,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1,6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раза).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обороту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занимает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ранговое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ранговое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Южного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округа.</w:t>
            </w:r>
          </w:p>
          <w:p w:rsidR="008972DB" w:rsidRPr="001A35CE" w:rsidRDefault="008972DB" w:rsidP="00732958">
            <w:pPr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</w:pPr>
            <w:r w:rsidRPr="001A35CE">
              <w:rPr>
                <w:kern w:val="2"/>
                <w:sz w:val="28"/>
                <w:szCs w:val="28"/>
                <w:lang w:bidi="en-US"/>
              </w:rPr>
              <w:t>С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каждым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годом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увеличивается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количество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торговых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современных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форматов,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которые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создают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комфортную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потребительскую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среду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городских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proofErr w:type="gramStart"/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округах</w:t>
            </w:r>
            <w:proofErr w:type="gramEnd"/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муниципальных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районах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  <w:lang w:bidi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bidi="en-US"/>
              </w:rPr>
              <w:t>области,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обеспечивая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высокий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качественный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уровень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торгового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обслуживания.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Обеспеченность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населения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Ростовской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области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площадью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торговых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объектов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состоянию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на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1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января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2016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составила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744,8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кв.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м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етра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,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что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1,3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раза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выше,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чем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состоянию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E055E1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br/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на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1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января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2011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</w:p>
          <w:p w:rsidR="008972DB" w:rsidRPr="001A35CE" w:rsidRDefault="008972DB" w:rsidP="00732958">
            <w:pPr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</w:pP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году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течение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2016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отмечался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спад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розничной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относительно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уровня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соответствующего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периода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предыдущего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году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–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93,5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процента,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январе</w:t>
            </w:r>
            <w:r w:rsidR="004E5978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–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сентябре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2016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–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96,5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процента).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</w:p>
          <w:p w:rsidR="008972DB" w:rsidRPr="001A35CE" w:rsidRDefault="008972DB" w:rsidP="004E5978">
            <w:pPr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</w:pP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действующих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ценах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розничной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целом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области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январе</w:t>
            </w:r>
            <w:r w:rsidR="004E5978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–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сентябре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2016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0A2795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г.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(615,5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proofErr w:type="gramStart"/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млрд</w:t>
            </w:r>
            <w:proofErr w:type="gramEnd"/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руб.)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был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сформирован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основном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(на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90,8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процента)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секторе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торгующих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организаций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индивидуальных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предпринимателей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вне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рынка,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этом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отмечалось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увеличение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сравнению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аналогичным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периодом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доли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крупных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средних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организаций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(40,9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против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40,2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1027BA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январе –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сентябре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proofErr w:type="gramStart"/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2015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г.)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уменьшении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доли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субъектов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малого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бизнеса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(49,9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против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50,7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процента).</w:t>
            </w:r>
            <w:proofErr w:type="gramEnd"/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Удельный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вес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розничных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рынков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ярмарок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составил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proofErr w:type="gramStart"/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общем</w:t>
            </w:r>
            <w:proofErr w:type="gramEnd"/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объеме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оборота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розничной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торговли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Ростовской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области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9,2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(против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9,1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процента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годом</w:t>
            </w:r>
            <w:r w:rsidR="001A35CE" w:rsidRPr="001A35CE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 xml:space="preserve"> </w:t>
            </w:r>
            <w:r w:rsidR="001027BA">
              <w:rPr>
                <w:rFonts w:eastAsia="Andale Sans UI"/>
                <w:kern w:val="2"/>
                <w:sz w:val="28"/>
                <w:szCs w:val="28"/>
                <w:lang w:eastAsia="en-US" w:bidi="en-US"/>
              </w:rPr>
              <w:t>ранее)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1.8.1.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ярмарок,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проводимых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«шаговой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каналов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прямой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доставки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сельхозпродукции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поддержание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стабильной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насыщенности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максимального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удовлетворения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покупательского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спроса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департамент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потребительского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BA4B68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BA4B68">
              <w:rPr>
                <w:bCs/>
                <w:spacing w:val="-2"/>
                <w:kern w:val="2"/>
                <w:sz w:val="28"/>
                <w:szCs w:val="28"/>
              </w:rPr>
              <w:t>области</w:t>
            </w:r>
            <w:r w:rsidR="001A35CE" w:rsidRPr="00BA4B68">
              <w:rPr>
                <w:bCs/>
                <w:spacing w:val="-2"/>
                <w:kern w:val="2"/>
                <w:sz w:val="28"/>
                <w:szCs w:val="28"/>
              </w:rPr>
              <w:t xml:space="preserve"> </w:t>
            </w:r>
            <w:r w:rsidRPr="00BA4B68">
              <w:rPr>
                <w:bCs/>
                <w:spacing w:val="-2"/>
                <w:kern w:val="2"/>
                <w:sz w:val="28"/>
                <w:szCs w:val="28"/>
              </w:rPr>
              <w:t>(по</w:t>
            </w:r>
            <w:r w:rsidR="001A35CE" w:rsidRPr="00BA4B68">
              <w:rPr>
                <w:bCs/>
                <w:spacing w:val="-2"/>
                <w:kern w:val="2"/>
                <w:sz w:val="28"/>
                <w:szCs w:val="28"/>
              </w:rPr>
              <w:t xml:space="preserve"> </w:t>
            </w:r>
            <w:r w:rsidRPr="00BA4B68">
              <w:rPr>
                <w:bCs/>
                <w:spacing w:val="-2"/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1.8.2.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значимые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питания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недопущения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необоснованного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недопущение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необоснованного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значимые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питания,</w:t>
            </w:r>
            <w:r w:rsidR="001A35CE" w:rsidRPr="001A35CE">
              <w:rPr>
                <w:rFonts w:eastAsia="MS Mincho"/>
                <w:kern w:val="2"/>
                <w:sz w:val="28"/>
                <w:szCs w:val="28"/>
                <w:lang w:eastAsia="ja-JP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темпов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инфляции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департамент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потребительского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1.8.3.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добровольной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сертификации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«Сделано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Дону»</w:t>
            </w:r>
          </w:p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выпускаемой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формированию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благоприятного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имиджа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производимых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департамент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потребительского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энергетики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сельского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продовольствия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1.8.4.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достижения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нормативов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минимальной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площадью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утвержденных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постановлением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01.09.2016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br/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619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оценка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достижения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нормативов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минимальной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площадью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каждом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целом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;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дифференциации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развитии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различий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департамент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потребительского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A4B68">
            <w:pPr>
              <w:pageBreakBefore/>
              <w:tabs>
                <w:tab w:val="num" w:pos="-100"/>
              </w:tabs>
              <w:spacing w:line="235" w:lineRule="auto"/>
              <w:contextualSpacing/>
              <w:jc w:val="center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kern w:val="2"/>
                <w:sz w:val="28"/>
                <w:szCs w:val="28"/>
              </w:rPr>
              <w:t>1.9.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Рынок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перевозок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наземным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транспортом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A4B68">
            <w:pPr>
              <w:tabs>
                <w:tab w:val="num" w:pos="-100"/>
              </w:tabs>
              <w:spacing w:line="235" w:lineRule="auto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Пассажирские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перевозки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автомобильным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являются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самым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массовым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доступным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видом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транспорта.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BA4B68">
            <w:pPr>
              <w:tabs>
                <w:tab w:val="num" w:pos="-100"/>
              </w:tabs>
              <w:spacing w:line="235" w:lineRule="auto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территории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проходит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650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междугородных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пригородных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регулярных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пассажирских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маршрутов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около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150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межобластных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маршрутов,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соединяющих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все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образования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протяженностью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80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километров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Автовокзалы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автостанции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объединены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единую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сеть.</w:t>
            </w:r>
          </w:p>
          <w:p w:rsidR="008972DB" w:rsidRPr="001A35CE" w:rsidRDefault="008972DB" w:rsidP="00BA4B68">
            <w:pPr>
              <w:tabs>
                <w:tab w:val="num" w:pos="-100"/>
              </w:tabs>
              <w:spacing w:line="235" w:lineRule="auto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рынке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пассажирских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осуществляют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деятельность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195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предприятий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различных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форм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собственности,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парк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около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000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единиц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подвижного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большой,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малой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особо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малой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вместимости: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около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700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автобусов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большой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вместимости,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145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троллейбусов,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158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трамваев.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Также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маршрутах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работают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3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000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автобусов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малой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особо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малой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вместимости.</w:t>
            </w:r>
          </w:p>
          <w:p w:rsidR="008972DB" w:rsidRPr="001A35CE" w:rsidRDefault="008972DB" w:rsidP="00BA4B68">
            <w:pPr>
              <w:tabs>
                <w:tab w:val="num" w:pos="-100"/>
              </w:tabs>
              <w:spacing w:line="235" w:lineRule="auto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полугодие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перевезенных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автомобильным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составил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157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t> 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960,1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4,3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выше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прошлогоднего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уровня.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Пассажирооборот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составил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691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214,3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пассажиро</w:t>
            </w:r>
            <w:proofErr w:type="spellEnd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-километров,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1,6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выше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аналогичного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периода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года.</w:t>
            </w:r>
          </w:p>
          <w:p w:rsidR="008972DB" w:rsidRPr="001A35CE" w:rsidRDefault="008972DB" w:rsidP="00BA4B68">
            <w:pPr>
              <w:tabs>
                <w:tab w:val="num" w:pos="-100"/>
              </w:tabs>
              <w:spacing w:line="235" w:lineRule="auto"/>
              <w:ind w:firstLine="709"/>
              <w:contextualSpacing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Основной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проблемой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автомобильного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транспорта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является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старый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подвижной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средний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Ростове-на-Дону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BA4B6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1.9.1.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Анализ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внутримуниципальных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отдаленных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районах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1.9.2.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доступность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маршруты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1.9.3.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contextualSpacing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перевозкам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низкорентабельных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альтернативных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автотранспорт,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работающий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ГМТ,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маломестные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микроавтобусы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пунктов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маленьким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жителей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настоящее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время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территории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связи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предоставляют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операторов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связи.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Численность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работающих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отрасли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19,5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</w:t>
            </w:r>
            <w:r w:rsidR="001027BA">
              <w:rPr>
                <w:rFonts w:eastAsia="Calibri"/>
                <w:kern w:val="2"/>
                <w:sz w:val="28"/>
                <w:szCs w:val="28"/>
                <w:lang w:eastAsia="en-US"/>
              </w:rPr>
              <w:t>овек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Объем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оказанных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год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составил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34,9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</w:rPr>
              <w:t>млрд</w:t>
            </w:r>
            <w:proofErr w:type="gramEnd"/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</w:rPr>
              <w:t>рублей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,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</w:rPr>
              <w:t>объе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м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инвестиций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Ростовскую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область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году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отрасли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составил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6,079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="001027BA">
              <w:rPr>
                <w:rFonts w:eastAsia="Calibri"/>
                <w:kern w:val="2"/>
                <w:sz w:val="28"/>
                <w:szCs w:val="28"/>
              </w:rPr>
              <w:t>млрд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руб</w:t>
            </w:r>
            <w:r w:rsidR="001027BA">
              <w:rPr>
                <w:rFonts w:eastAsia="Calibri"/>
                <w:kern w:val="2"/>
                <w:sz w:val="28"/>
                <w:szCs w:val="28"/>
              </w:rPr>
              <w:t>лей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</w:rPr>
              <w:t>Наиболее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крупными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участниками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являются</w:t>
            </w:r>
            <w:r w:rsidR="001027BA">
              <w:rPr>
                <w:rFonts w:eastAsia="Calibri"/>
                <w:kern w:val="2"/>
                <w:sz w:val="28"/>
                <w:szCs w:val="28"/>
              </w:rPr>
              <w:t>: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Ростовский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филиал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публичного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акционерного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</w:rPr>
              <w:t>«Ростелеком»,</w:t>
            </w:r>
            <w:r w:rsidR="001A35CE" w:rsidRPr="001A35CE">
              <w:rPr>
                <w:rFonts w:eastAsia="Calibri"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Кавказского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филиала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публичного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акционерного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«МегаФон»,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филиал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публичного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акционерного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«Мобильные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ТелеСистемы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филиал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ответственностью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«Т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2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Мобайл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Ростовский-на-Дону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филиал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публичного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акционерного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«ВымпелКом»,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федеральной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почтовой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филиал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унитарного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предприятия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«Почта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России».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tabs>
                <w:tab w:val="left" w:pos="709"/>
              </w:tabs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Хозяйствующие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отсутствуют.</w:t>
            </w:r>
          </w:p>
          <w:p w:rsidR="008972DB" w:rsidRPr="001A35CE" w:rsidRDefault="008972DB" w:rsidP="001027BA">
            <w:pPr>
              <w:ind w:firstLine="709"/>
              <w:jc w:val="both"/>
              <w:rPr>
                <w:rFonts w:eastAsiaTheme="minorHAns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году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между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Правительством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обществом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ограниченной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ответственностью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Theme="minorHAns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«Т</w:t>
            </w:r>
            <w:proofErr w:type="gramStart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2</w:t>
            </w:r>
            <w:proofErr w:type="gramEnd"/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Мобайл</w:t>
            </w:r>
            <w:proofErr w:type="spellEnd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»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(торговая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марка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–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Теlе2)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заключено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соглашение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намерениях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сфере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развития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связи.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Данное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соглашение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предусматривает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реализацию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инвестиционного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проекта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расширения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модернизации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сети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общества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ограниченной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ответственностью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«Т</w:t>
            </w:r>
            <w:proofErr w:type="gramStart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2</w:t>
            </w:r>
            <w:proofErr w:type="gramEnd"/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Мобайл</w:t>
            </w:r>
            <w:proofErr w:type="spellEnd"/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»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за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счет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строительства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собственных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наземных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станций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связи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активное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развитие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существующей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сети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подвижной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радиотелефонной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связи,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том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числе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путем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строительства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запуска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сетей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связи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нового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поколения,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именно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сетей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связи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стандарта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3G/</w:t>
            </w:r>
            <w:r w:rsidRPr="001A35CE">
              <w:rPr>
                <w:rFonts w:eastAsiaTheme="minorHAnsi"/>
                <w:kern w:val="2"/>
                <w:sz w:val="28"/>
                <w:szCs w:val="28"/>
                <w:lang w:val="en-US" w:eastAsia="en-US"/>
              </w:rPr>
              <w:t>LTE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.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Реализация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инвестиционного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проекта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рассчитана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период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2019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год,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рамках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проекта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планируется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привлечь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около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4,4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1027BA">
              <w:rPr>
                <w:rFonts w:eastAsiaTheme="minorHAnsi"/>
                <w:kern w:val="2"/>
                <w:sz w:val="28"/>
                <w:szCs w:val="28"/>
                <w:lang w:eastAsia="en-US"/>
              </w:rPr>
              <w:t>млрд</w:t>
            </w:r>
            <w:proofErr w:type="gramEnd"/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рублей</w:t>
            </w:r>
            <w:r w:rsidR="001A35CE"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Theme="minorHAnsi"/>
                <w:kern w:val="2"/>
                <w:sz w:val="28"/>
                <w:szCs w:val="28"/>
                <w:lang w:eastAsia="en-US"/>
              </w:rPr>
              <w:t>инвестиций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выделении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антенно-мачтовых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сооружений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оборудования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подключении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энергоснабжения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покрытия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подвижной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радиотелефонной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(сотовой)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спектра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подвижной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радиотелефонной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(голосовая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связь,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мобильный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«Интернет»)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1.10.2.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законодательством,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предотвращение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незаконного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антенно-мачтовых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сооружений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учетом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имеющейся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снижение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напряженности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разрешенному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использования;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равномерное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покрытие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1.10.3.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Сопровождение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ответственностью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«Т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2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Мобайл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рамках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ответственностью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«Т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2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Мобайл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»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намерениях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подвижной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радиотелефонной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счет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ответственностью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«Т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2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Мобайл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существующей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подвижной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радиотелефонной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запуска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поколения,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именно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стандарта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3G/</w:t>
            </w:r>
            <w:r w:rsidRPr="001A35CE">
              <w:rPr>
                <w:kern w:val="2"/>
                <w:sz w:val="28"/>
                <w:szCs w:val="28"/>
                <w:lang w:val="en-US"/>
              </w:rPr>
              <w:t>LTE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31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декабря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2019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г.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стационарной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электропроводной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пунктах,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администраций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стационарной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электропроводной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пунктах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волоконно-оптических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спектра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1.10.5.</w:t>
            </w:r>
          </w:p>
        </w:tc>
        <w:tc>
          <w:tcPr>
            <w:tcW w:w="4556" w:type="dxa"/>
            <w:shd w:val="clear" w:color="auto" w:fill="FFFFFF" w:themeFill="background1"/>
          </w:tcPr>
          <w:p w:rsidR="00085F70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Сопровождение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трехстороннего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Минкомсвязи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публичным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акционерным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«Ростелеком»,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совместной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Прокладка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волоконно-оптических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точек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коллективного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85F70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Wi-Fi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394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пунктах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250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500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человек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цифрового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неравенства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декабря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1.10.6.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1027BA" w:rsidP="001A35CE">
            <w:pPr>
              <w:rPr>
                <w:kern w:val="2"/>
                <w:sz w:val="28"/>
                <w:szCs w:val="28"/>
              </w:rPr>
            </w:pPr>
            <w:proofErr w:type="spellStart"/>
            <w:r>
              <w:rPr>
                <w:kern w:val="2"/>
                <w:sz w:val="28"/>
                <w:szCs w:val="28"/>
              </w:rPr>
              <w:t>Упорядение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процесса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взаимодействия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между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размещении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линий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совместного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подвеса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опорах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воздушных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линий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электропередачи,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уличного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освещения,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контактной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электротранспорта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проводной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эстетического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вида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пунктов;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налогооблагаемой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базы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1.10.7.</w:t>
            </w:r>
          </w:p>
        </w:tc>
        <w:tc>
          <w:tcPr>
            <w:tcW w:w="4556" w:type="dxa"/>
            <w:shd w:val="clear" w:color="auto" w:fill="FFFFFF" w:themeFill="background1"/>
          </w:tcPr>
          <w:p w:rsidR="00445636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повышении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45636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форматов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отделениях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сохранение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комфортности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юридических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физических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отделениях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1.10.8.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логистического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унитарного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предприятия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«Почта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России»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предназначен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обработки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миллиона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отправлений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сутки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интересах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Волгоградской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Краснодарского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Ставропольского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краев,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республик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Калмыкия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Адыгея;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позволит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повысить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доставке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отправлений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счет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сроков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доставки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контроля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прохождением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почтовых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отправлений.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декабря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  <w:highlight w:val="lightGray"/>
              </w:rPr>
            </w:pPr>
            <w:r w:rsidRPr="001A35CE">
              <w:rPr>
                <w:kern w:val="2"/>
                <w:sz w:val="28"/>
                <w:szCs w:val="28"/>
              </w:rPr>
              <w:t>1.11.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027BA">
              <w:rPr>
                <w:kern w:val="2"/>
                <w:sz w:val="28"/>
                <w:szCs w:val="28"/>
              </w:rPr>
              <w:t xml:space="preserve"> октября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027BA">
              <w:rPr>
                <w:kern w:val="2"/>
                <w:sz w:val="28"/>
                <w:szCs w:val="28"/>
              </w:rPr>
              <w:t xml:space="preserve"> 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включены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152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87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Государственные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представлены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домами-интернатами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(пансионатами)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престарелых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инвалидов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</w:t>
            </w:r>
            <w:r w:rsidR="001027BA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479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психоневрологическими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интернатами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</w:t>
            </w:r>
            <w:r w:rsidR="001027BA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317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определенного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семьи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Муниципальные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представлены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пожилого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инвалидов.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Некоммерческие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Благотворительный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«Семейный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общественная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национально-культурная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Греческая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автономия.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месяцев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1027BA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было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185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002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человека.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Полностью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ликвидирована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дома-интернаты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престарелых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инвалидов,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остается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проблема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помещения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граждан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стационарные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учреждения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психоневрологического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типа.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января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составляла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637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декабря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снизилась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577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человек.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Причины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сложившейся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ситуации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–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ежегодном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увеличении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количества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граждан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преклонного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возраста,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страдающих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расстройством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психики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силу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возрастных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особенностей.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декабря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D289A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г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осударственном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автономном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учреждении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социального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обслуживания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населения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iCs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«Шахтинский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психоневрологический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интернат»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открыто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отделения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милосердия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базе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ликвидированного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>г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осударственного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бюджетного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учреждения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социального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обслуживания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населения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«Социально-реабилитационный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несовершеннолетних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Шахты»,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позволило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сократить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очередь.</w:t>
            </w:r>
            <w:proofErr w:type="gramEnd"/>
          </w:p>
          <w:p w:rsidR="008972DB" w:rsidRPr="001A35CE" w:rsidRDefault="008972DB" w:rsidP="00732958">
            <w:pPr>
              <w:autoSpaceDE w:val="0"/>
              <w:autoSpaceDN w:val="0"/>
              <w:adjustRightInd w:val="0"/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этом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планируется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завершение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строительства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нового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корпуса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D289A">
              <w:rPr>
                <w:rFonts w:eastAsia="Calibri"/>
                <w:kern w:val="2"/>
                <w:sz w:val="28"/>
                <w:szCs w:val="28"/>
                <w:lang w:eastAsia="en-US"/>
              </w:rPr>
              <w:t>г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осударственного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автономного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учреждения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социального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обслуживания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населения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«</w:t>
            </w:r>
            <w:proofErr w:type="spell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Маякинский</w:t>
            </w:r>
            <w:proofErr w:type="spellEnd"/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психоневрологический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интернат»,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позволит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ввести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дополнительно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125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мест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1.11.1.</w:t>
            </w:r>
          </w:p>
        </w:tc>
        <w:tc>
          <w:tcPr>
            <w:tcW w:w="4556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доступность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strike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</w:p>
        </w:tc>
        <w:tc>
          <w:tcPr>
            <w:tcW w:w="3419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  <w:hideMark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1.11.2.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информационно-разъяснительной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через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массовой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посредством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доли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proofErr w:type="gramEnd"/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социально-политических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коммуникаций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физической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культуре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спорту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1.11.3.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Исполнение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поэтапного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средствам,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выделяемым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различных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утвержденного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распоряжением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29.07.2016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298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сектора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оказании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социально-политических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коммуникаций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здравоохранения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культуры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физической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культуре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спорту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325B3D">
            <w:pPr>
              <w:pageBreakBefore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животноводства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переработки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положительную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динамику.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соответствующим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сказывается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безопасности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ED289A">
              <w:rPr>
                <w:kern w:val="2"/>
                <w:sz w:val="28"/>
                <w:szCs w:val="28"/>
              </w:rPr>
              <w:t xml:space="preserve"> ноября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категориями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оизведено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мяса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287,6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тонн,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6,4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больше,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январе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октябре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г</w:t>
            </w:r>
            <w:r w:rsidRPr="001A35CE">
              <w:rPr>
                <w:kern w:val="2"/>
                <w:sz w:val="28"/>
                <w:szCs w:val="28"/>
              </w:rPr>
              <w:t>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Молока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произведено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942,8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тонн,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100,2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уровню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прошлого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коровы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составил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</w:t>
            </w:r>
            <w:r w:rsidR="00ED289A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966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килограмм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100,5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уровню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года.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Производство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выросло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сравнению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прошлым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составило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766,9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млн.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штук.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сельскохозяйственных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крестьянских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фермерских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иходится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структуре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поголовья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крупного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рогатого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скота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1.12.1.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сельскохозяйственным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товаропроизводителям,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занимающимся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мясного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скотоводства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954369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молочного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мясного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скотоводства,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агропромышленного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комплекса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1.12.2.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опережающего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животноводства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1.12.3.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Мониторинг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племенного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молодняка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сельскохозяйственных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животных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iCs/>
                <w:kern w:val="2"/>
                <w:sz w:val="28"/>
                <w:szCs w:val="28"/>
              </w:rPr>
              <w:t>определение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численности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высокопродуктивного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племенного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молодняка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сельскохозяйственных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животных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племенных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видам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направлениям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продуктивности,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товарным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предприятиям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высокопродуктивного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племенного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молодняка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разведения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="00ED289A">
              <w:rPr>
                <w:iCs/>
                <w:kern w:val="2"/>
                <w:sz w:val="28"/>
                <w:szCs w:val="28"/>
              </w:rPr>
              <w:t>увеличения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="00ED289A">
              <w:rPr>
                <w:iCs/>
                <w:kern w:val="2"/>
                <w:sz w:val="28"/>
                <w:szCs w:val="28"/>
              </w:rPr>
              <w:t>объема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производимой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продукции</w:t>
            </w:r>
            <w:r w:rsidR="001A35CE" w:rsidRPr="001A35CE">
              <w:rPr>
                <w:i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iCs/>
                <w:kern w:val="2"/>
                <w:sz w:val="28"/>
                <w:szCs w:val="28"/>
              </w:rPr>
              <w:t>животноводства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1.12.4.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искусственному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осеменению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сельскохозяйственных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охвата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искусственным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осеменением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крупного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рогатого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категориях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генетического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потенциала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пород,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разводимых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сельского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продовольствия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A4B68">
            <w:pPr>
              <w:spacing w:line="235" w:lineRule="auto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Ростовская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область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объему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вводимого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жилья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входит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лидирующих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регионов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Российской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Федерации.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BA4B68">
            <w:pPr>
              <w:tabs>
                <w:tab w:val="left" w:pos="90"/>
              </w:tabs>
              <w:autoSpaceDE w:val="0"/>
              <w:autoSpaceDN w:val="0"/>
              <w:adjustRightInd w:val="0"/>
              <w:spacing w:line="235" w:lineRule="auto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итогам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Ростовской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области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счет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всех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источников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финансирования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сдано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эксплуатацию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408,7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метров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площади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домов.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данный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индивидуальными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застройщиками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построено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br/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1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544,3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метров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жилья.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Предприятиями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организациями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итогам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построено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домов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общей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площадью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864,4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метров.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BA4B68">
            <w:pPr>
              <w:spacing w:line="235" w:lineRule="auto"/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Несмотря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положительную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динамику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жилищной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сфере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2013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–</w:t>
            </w:r>
            <w:r w:rsidR="00E055E1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годах,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2016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году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планируемый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ввода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жилья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составляет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204,0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тыс.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кв.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метров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91,5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процента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относительно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уровня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2015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года.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8972DB" w:rsidRPr="001A35CE" w:rsidRDefault="008972DB" w:rsidP="00732958">
            <w:pPr>
              <w:ind w:firstLine="709"/>
              <w:jc w:val="both"/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Основными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причинами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спада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строительной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отрасли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является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падение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внутреннего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спроса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продолжающееся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снижение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располагаемых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доходов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населения,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которые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привели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к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снижению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объемов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продаж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сокращению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объемов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отгруженной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продукции,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выполненных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работ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что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повлияло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ухудшение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экономического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положения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предприятий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  <w:hideMark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1.13.1.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Осуществление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ввода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эксплуатацию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контроль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ходом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выполнением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показателей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вводу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эксплуатацию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1.13.2.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Комплексное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территорий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рамках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освоения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крупных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1.13.3.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жильем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категорий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определенных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законодательством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поддержка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отдельных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категорий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граждан,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которые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нуждаются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улучшении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условий,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специальных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ипотечного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кредитования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отдельных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категорий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граждан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1.13.4.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ликвидации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аварийного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фонда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переселение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многоквартирного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аварийного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фонда,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признанного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непригодным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проживания,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аварийным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подлежащим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сносу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реконструкции,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носит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социальный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характер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направлено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органами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органами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самоуправления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осуществления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гражданами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безопасные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условия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проживания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A4B68">
            <w:pPr>
              <w:ind w:firstLine="709"/>
              <w:jc w:val="both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Динамика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последних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двух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устойчиво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превышала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среднероссийские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показатели.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месяцев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индекс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составил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114,8</w:t>
            </w:r>
            <w:r w:rsidR="00BA4B68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процента.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Среднероссийский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100,3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убыточных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обрабатывающих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29,1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месяцев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25,7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месяцев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>г.</w:t>
            </w:r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33,3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8,3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D289A">
              <w:rPr>
                <w:kern w:val="2"/>
                <w:sz w:val="28"/>
                <w:szCs w:val="28"/>
              </w:rPr>
              <w:t xml:space="preserve">–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текстильном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швейном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22,2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18,5</w:t>
            </w:r>
            <w:r w:rsidR="00BA4B68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процента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машин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оборудования.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Ведущие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определяющие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ситуацию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своих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отраслях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продолжают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наращивать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объемы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1.14.1.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Осуществление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финансово-экономического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курируемых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определение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финансово-экономического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курируемых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энергетики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1.14.2.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конкурентоспособности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энергетики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1.14.3.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предприятиям,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реализующим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импортозамещение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Фонда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запуска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импортозамещающих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энергетики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1.14.4.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Информационное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уровнях</w:t>
            </w:r>
            <w:proofErr w:type="gramEnd"/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активизация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регионе;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конкурентоспособности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выпуска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импортозамещающей,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экспорто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-ориентированной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энергетики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732958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мероприятий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процедур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уставном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капитале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стандартизированных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заданий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типовым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закупкам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нужд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процедур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нужд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главные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распорядители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подведомственную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сеть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2.1.2.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потенциальных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012CAA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двух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пилотного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главных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распорядителей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электронной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форме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бизнесу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закупках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главные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распорядители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отобранные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пилотного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проекта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2.1.4.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Разработка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рекомендаций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закупках</w:t>
            </w:r>
            <w:proofErr w:type="gramEnd"/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совершенствование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процедур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нужд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избыточного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регулирования,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административных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барьеров,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оптимизацию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2.2.1.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Реализация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пилотного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проекта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</w:p>
          <w:p w:rsidR="00591077" w:rsidRDefault="008972DB" w:rsidP="001A35CE">
            <w:pPr>
              <w:rPr>
                <w:rFonts w:eastAsia="Calibri"/>
                <w:kern w:val="2"/>
                <w:sz w:val="28"/>
                <w:szCs w:val="28"/>
                <w:lang w:eastAsia="en-US"/>
              </w:rPr>
            </w:pPr>
            <w:proofErr w:type="gramStart"/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по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организации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деятельности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многофункциональных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центров,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ориентированных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на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предоставление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государственных,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муниципальных,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дополнительных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(сопутствующих)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услуг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субъектам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предпринимательства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(«МФЦ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proofErr w:type="gramEnd"/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для</w:t>
            </w:r>
            <w:r w:rsidR="001A35CE"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rFonts w:eastAsia="Calibri"/>
                <w:kern w:val="2"/>
                <w:sz w:val="28"/>
                <w:szCs w:val="28"/>
                <w:lang w:eastAsia="en-US"/>
              </w:rPr>
              <w:t>бизнеса»)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способов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уровней,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принципу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«одного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окна»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упрощение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консультирования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органах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Инвентаризация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финансово-кредитных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ресурсоснабжающих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Уполномоченного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защите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перечня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бизнеса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перевод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максимально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органах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2.2.3.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Определение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бизнес-ситуаций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целях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упрощения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заявителей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бизнеса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услугах</w:t>
            </w:r>
          </w:p>
        </w:tc>
        <w:tc>
          <w:tcPr>
            <w:tcW w:w="3137" w:type="dxa"/>
            <w:shd w:val="clear" w:color="auto" w:fill="FFFFFF" w:themeFill="background1"/>
          </w:tcPr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упрощение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поиска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конкретных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общем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массиве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(сопутствующих)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органах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Автоматизация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процесса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рамках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бизнес-ситуаций</w:t>
            </w:r>
          </w:p>
        </w:tc>
        <w:tc>
          <w:tcPr>
            <w:tcW w:w="3137" w:type="dxa"/>
            <w:shd w:val="clear" w:color="auto" w:fill="FFFFFF" w:themeFill="background1"/>
          </w:tcPr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информированности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представителей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бизнес-сообщества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МФЦ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органах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2.2.5.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заседаний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межведомственной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комиссии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административных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барьеров</w:t>
            </w:r>
          </w:p>
        </w:tc>
        <w:tc>
          <w:tcPr>
            <w:tcW w:w="3137" w:type="dxa"/>
            <w:shd w:val="clear" w:color="auto" w:fill="FFFFFF" w:themeFill="background1"/>
          </w:tcPr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общесистемных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мер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снижения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административных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барьеров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ежеквартально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2.2.6.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Уполномоченного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защите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гарантий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защиты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законных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интересов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деятельности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2.2.7.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руководителей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грамотности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правовое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просвещение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деятельности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Совершенствование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процессов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влияния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активизации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2.3.1.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Подготовка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установленном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порядке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предложений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области;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функции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полномочия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учредителя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мая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2.3.2.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Осуществление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подведомственных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министерству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оптимизация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области;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2.3.3.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актуализация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составляет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более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процентов,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совершенствование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процессов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управления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7298C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57298C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областные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E055E1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инициатив</w:t>
            </w:r>
            <w:r w:rsidR="00E055E1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счет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мероприятий,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обеспечивающих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поиска,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отбора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потенциальных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предпринимателей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2.4.1.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предпринимательскую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</w:p>
        </w:tc>
        <w:tc>
          <w:tcPr>
            <w:tcW w:w="3137" w:type="dxa"/>
            <w:shd w:val="clear" w:color="auto" w:fill="FFFFFF" w:themeFill="background1"/>
          </w:tcPr>
          <w:p w:rsidR="0057298C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увеличение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регионе,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внимания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людей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деятельности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2.4.2.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углубленного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модульного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«Бизнес-школа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предпринимателя»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подготовка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профессиональных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кадров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сферы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бизнеса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2.4.3.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единой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предпринимательства: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«Азбука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предпринимателя»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бизнеса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нуля)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«Школа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бизнеса)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грамотности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2.4.4.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руководителей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рамках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Губернаторской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кадров</w:t>
            </w:r>
          </w:p>
        </w:tc>
        <w:tc>
          <w:tcPr>
            <w:tcW w:w="3137" w:type="dxa"/>
            <w:shd w:val="clear" w:color="auto" w:fill="FFFFFF" w:themeFill="background1"/>
          </w:tcPr>
          <w:p w:rsidR="0057298C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образовательного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уровня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руководителей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образующих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инфраструктуру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предпринимательства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2.4.5.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семинаров,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мастер-классов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уровня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знаний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людей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ведении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собственного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дела,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инициативы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E055E1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2.5.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научно-технического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творчества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2.5.1.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конвента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молодежной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среде,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выявление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поддержка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талантливой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молодежи,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раскрытия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творческих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способностей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результативности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молодежи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bCs/>
                <w:kern w:val="2"/>
                <w:sz w:val="28"/>
                <w:szCs w:val="28"/>
              </w:rPr>
              <w:t>развитии</w:t>
            </w:r>
            <w:proofErr w:type="gramEnd"/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инновационного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потенциала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комитет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молодежной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политике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2.5.2.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творчества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вовлечение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комитет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молодежной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политике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2.5.3.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«Школьный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форум»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навыков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компетенций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подростков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E055E1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2.6.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имущества,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находящихся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2.6.1.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продажи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отношении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продажи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2.6.2.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торгов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области;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ГКУ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«Фонд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2.6.3.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портале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прогнозных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(программ)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ежегодных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отчетов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выполнении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прогнозных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(программ)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земельных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2.6.4.</w:t>
            </w:r>
          </w:p>
        </w:tc>
        <w:tc>
          <w:tcPr>
            <w:tcW w:w="4556" w:type="dxa"/>
            <w:shd w:val="clear" w:color="auto" w:fill="FFFFFF" w:themeFill="background1"/>
          </w:tcPr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природных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формировании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границ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рыбоводных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ау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кционов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договоров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рыбопромыслового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рыболовства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м</w:t>
            </w:r>
            <w:r w:rsidRPr="001A35CE">
              <w:rPr>
                <w:kern w:val="2"/>
                <w:sz w:val="28"/>
                <w:szCs w:val="28"/>
              </w:rPr>
              <w:t>инистерства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природных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экологии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D440DE">
              <w:rPr>
                <w:kern w:val="2"/>
                <w:sz w:val="28"/>
                <w:szCs w:val="28"/>
              </w:rPr>
              <w:t>,</w:t>
            </w:r>
          </w:p>
          <w:p w:rsidR="00591077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ау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кционов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охотхозяйственных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95944" w:rsidRDefault="008972DB" w:rsidP="001A35CE">
            <w:pPr>
              <w:autoSpaceDE w:val="0"/>
              <w:autoSpaceDN w:val="0"/>
              <w:adjustRightInd w:val="0"/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договоров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водопользования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акватории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проведении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торгов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</w:t>
            </w:r>
            <w:r w:rsidR="00D440DE">
              <w:rPr>
                <w:kern w:val="2"/>
                <w:sz w:val="28"/>
                <w:szCs w:val="28"/>
              </w:rPr>
              <w:t>ернет»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природных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природных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экологии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2.7.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мобильности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ресурсов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2.7.1.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функционирования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21</w:t>
            </w:r>
            <w:r w:rsidR="00D440DE">
              <w:rPr>
                <w:kern w:val="2"/>
                <w:sz w:val="28"/>
                <w:szCs w:val="28"/>
              </w:rPr>
              <w:t> 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переподготовка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востребованных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регионе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работодателей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обучающимися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смежных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профессий;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студентами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вузов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рабочих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профессий;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краткосрочной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заявкам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D440DE">
              <w:rPr>
                <w:kern w:val="2"/>
                <w:sz w:val="28"/>
                <w:szCs w:val="28"/>
              </w:rPr>
              <w:t>населения;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стажировки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педагогических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однопрофильных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2.7.2.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многофункциональных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прикладных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квалификации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учетом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актуальных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перспективных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2.7.3.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межтерриториального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заявленных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реализующими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инвестиционные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трудоустройства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пределами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постоянного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комплектование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необходимыми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трудоустройстве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пределами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постоянного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2.7.4.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Взаимодействие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других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обмену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сведениями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свободных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рабочих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рамках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сотрудничестве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мобильности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трудоустройства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другой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2.7.5.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Сопровождение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сегмента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информационно-аналитической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«Работа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модерации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самостоятельно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размещаемых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информационно-аналитической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Общероссийская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база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«Работа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России»;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устранение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фактов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самостоятельного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информационно-аналитической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Общероссийская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вакансий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«Работа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сведений,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содержащих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недостоверные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сведений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дискриминационного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характера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постоянно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2.8.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междисциплинарных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исследований,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E055E1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коммерциализации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масштабирования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результатов,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итогам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исследований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2.8.1.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исследований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анализ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тенденций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социально-экономического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обоснованности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принятия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</w:t>
            </w:r>
            <w:r w:rsidRPr="001A35CE">
              <w:rPr>
                <w:kern w:val="2"/>
                <w:sz w:val="28"/>
                <w:szCs w:val="28"/>
              </w:rPr>
              <w:softHyphen/>
              <w:t>ленческих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реше</w:t>
            </w:r>
            <w:r w:rsidRPr="001A35CE">
              <w:rPr>
                <w:kern w:val="2"/>
                <w:sz w:val="28"/>
                <w:szCs w:val="28"/>
              </w:rPr>
              <w:softHyphen/>
              <w:t>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политики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2.8.2.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исследований,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междисциплинарных,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Фонда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научно-технической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Москва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ученых,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научно-исследовательские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опытно-конструкторские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приоритетных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2.8.3.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маркетинговых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исследований,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анализ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инициатив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получение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инициатив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2.9.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практико-ориентированного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(дуального)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кадрового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сквозным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рабочим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профессиям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2.9.1.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учебно-производственных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базе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практико-ориентированным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программам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выпускников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практико-ориентированным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руководством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наставников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лучших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2.9.2.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Профессиональная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95944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ориентация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обучающихся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дальнейшего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специальностям,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востребованным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квалифицированными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кадрами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Союз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E5978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2.9.3.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безработных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востребованным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(специальностям),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прохождением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обучения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предприятиях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конкурентоспособности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трудоустройства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работодателей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квалифицированными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службы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занятости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2.9.4.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корпоративных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опорных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профильных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кафедр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якорных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–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квалифицированными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кадрами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D440DE" w:rsidP="001A35CE">
            <w:pPr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ф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едеральное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государственное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бюджетное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образовательное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учреждение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высшего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«Донской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государственный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технический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университет»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согласованию),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325B3D">
            <w:pPr>
              <w:pageBreakBefore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2.10.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институциональной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способствующей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увеличению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решений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2.10.1.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дорогостоящему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оборудованию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рамках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функционирования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коворкинга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Дону»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разработка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услуг)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D440DE">
              <w:rPr>
                <w:bCs/>
                <w:kern w:val="2"/>
                <w:sz w:val="28"/>
                <w:szCs w:val="28"/>
              </w:rPr>
              <w:t>ф</w:t>
            </w:r>
            <w:r w:rsidRPr="001A35CE">
              <w:rPr>
                <w:bCs/>
                <w:kern w:val="2"/>
                <w:sz w:val="28"/>
                <w:szCs w:val="28"/>
              </w:rPr>
              <w:t>едеральное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бюджетное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образовательное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учреждение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высшего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«Донской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государственный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технический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университет»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согласованию),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2.10.2.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Предоставление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субсидий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затрат,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стимулирования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2.10.3.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опытно-конструкторских,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опытно-технологических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разработка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высокотехнологичной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решений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2.10.4.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отраслевых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рабочих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групп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proofErr w:type="gramEnd"/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продукции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разработок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расширение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внедрения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разработок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областные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органы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D2EBE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институтов</w:t>
            </w:r>
            <w:r w:rsidR="00BD2EB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2.11.1.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системы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инжиниринга,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интегрированного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центра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эффективного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взаимодействия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процесса,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кластеров,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науки,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самоуправления,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инвесторов,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инноваторов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изобретателей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2.11.2.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Минэкономразвития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D2EBE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контроля</w:t>
            </w:r>
            <w:r w:rsidR="00BD2EB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естественных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монополий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2.12.1.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Межотраслевого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вопросам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естественных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монополий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Губернаторе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естественных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монополий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тарифного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регулирования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D440DE" w:rsidP="001A35CE">
            <w:pPr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Р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егиональная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служба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тарифам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одного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полгода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2.12.2.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  <w:highlight w:val="yellow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совместно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ресурсоснабжающими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компаниями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размещение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официальных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сайтах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тестовом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режиме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ресурсного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калькулятора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расчета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стоимости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присоединения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инженерной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прозрачности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понятности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процесса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расчета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стоимости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присоединения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инженерной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D440DE" w:rsidP="001A35CE">
            <w:pPr>
              <w:rPr>
                <w:bCs/>
                <w:kern w:val="2"/>
                <w:sz w:val="28"/>
                <w:szCs w:val="28"/>
              </w:rPr>
            </w:pPr>
            <w:r>
              <w:rPr>
                <w:bCs/>
                <w:kern w:val="2"/>
                <w:sz w:val="28"/>
                <w:szCs w:val="28"/>
              </w:rPr>
              <w:t>Р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егиональная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служба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тарифам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2.13.1.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Стимулирование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инновационных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технологического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обновления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отрасли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материалов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повышение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потребительских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свой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оительных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материалов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2.13.2.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Организация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подготовку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регулярное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наблюдение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профессионального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специалистов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требованиям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2.13.3.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Осуществление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постоянного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мониторинга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текущих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перспективных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специальностей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получение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кадрах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специальностей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2.13.4.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Развитие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кооперационных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между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компаниями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жилищного,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коммерческого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локальными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производителями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отделочных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материалов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профильных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эффективного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взаимодействия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компаний,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архитектуры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территориального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Торгово-промышленная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палата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согласованию),</w:t>
            </w:r>
          </w:p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НП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«ЕРЦИР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области»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D2EBE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сохранение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целевого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(муниципальных)</w:t>
            </w:r>
            <w:r w:rsidR="00BD2EB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недвижимого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2.14.1.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Формирование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перечня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отношении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планируется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привлечение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инвесторов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(концессионеров)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рамках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органы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ежегодно,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февраля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2.14.2.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Рассмотрение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создания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(реконструкции)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недвижимого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посредством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соглашения: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1A35CE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областях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культуры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и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спорта;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1A35CE" w:rsidP="00495944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сферах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здравоохранения,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образования,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социального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обслуживания;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в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сфере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детского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отдыха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и</w:t>
            </w:r>
            <w:r w:rsidRPr="001A35CE">
              <w:rPr>
                <w:kern w:val="2"/>
                <w:sz w:val="28"/>
                <w:szCs w:val="28"/>
              </w:rPr>
              <w:t xml:space="preserve"> </w:t>
            </w:r>
            <w:r w:rsidR="008972DB" w:rsidRPr="001A35CE">
              <w:rPr>
                <w:kern w:val="2"/>
                <w:sz w:val="28"/>
                <w:szCs w:val="28"/>
              </w:rPr>
              <w:t>оздоровления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(или)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модернизация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инфраструктуры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значимых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инвестиций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органы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2.15.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2.15.1.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межведомственной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координации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публичным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область,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либо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отношении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планируется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(за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исключением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случая,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котором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планируется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совместного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Федерации)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обеспечение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соответствующим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актуальным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потребностям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</w:t>
            </w:r>
          </w:p>
        </w:tc>
        <w:tc>
          <w:tcPr>
            <w:tcW w:w="3419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2.15.2.</w:t>
            </w:r>
          </w:p>
        </w:tc>
        <w:tc>
          <w:tcPr>
            <w:tcW w:w="4556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Ведение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реестров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муниципально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137" w:type="dxa"/>
            <w:shd w:val="clear" w:color="auto" w:fill="FFFFFF" w:themeFill="background1"/>
          </w:tcPr>
          <w:p w:rsidR="00056E23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обобщение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соглашениях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муниципально</w:t>
            </w:r>
            <w:proofErr w:type="spellEnd"/>
            <w:r w:rsidRPr="001A35CE">
              <w:rPr>
                <w:kern w:val="2"/>
                <w:sz w:val="28"/>
                <w:szCs w:val="28"/>
              </w:rPr>
              <w:t>-частном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министерство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экономического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администрации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(по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согласованию)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071" w:type="dxa"/>
            <w:gridSpan w:val="5"/>
            <w:shd w:val="clear" w:color="auto" w:fill="FFFFFF" w:themeFill="background1"/>
          </w:tcPr>
          <w:p w:rsidR="008972DB" w:rsidRPr="001A35CE" w:rsidRDefault="008972DB" w:rsidP="00BD2EBE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2.16.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Содействие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(немуниципальных)</w:t>
            </w:r>
            <w:r w:rsidR="00BD2EBE">
              <w:rPr>
                <w:kern w:val="2"/>
                <w:sz w:val="28"/>
                <w:szCs w:val="28"/>
              </w:rPr>
              <w:t xml:space="preserve"> </w:t>
            </w:r>
            <w:r w:rsidR="00BD2EBE">
              <w:rPr>
                <w:kern w:val="2"/>
                <w:sz w:val="28"/>
                <w:szCs w:val="28"/>
              </w:rPr>
              <w:br/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1F2A40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2.16.1.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финансовой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субсидий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постановлению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11.03.2012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153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институтов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инициатив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потенциала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решении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проблем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значения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социально-политических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коммуникаций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  <w:tr w:rsidR="001A35CE" w:rsidRPr="001A35CE" w:rsidTr="008834B2">
        <w:tc>
          <w:tcPr>
            <w:tcW w:w="1535" w:type="dxa"/>
            <w:shd w:val="clear" w:color="auto" w:fill="FFFFFF" w:themeFill="background1"/>
          </w:tcPr>
          <w:p w:rsidR="008972DB" w:rsidRPr="001A35CE" w:rsidRDefault="008972DB" w:rsidP="00252E0E">
            <w:pPr>
              <w:pageBreakBefore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2.16.2.</w:t>
            </w:r>
          </w:p>
        </w:tc>
        <w:tc>
          <w:tcPr>
            <w:tcW w:w="4556" w:type="dxa"/>
            <w:shd w:val="clear" w:color="auto" w:fill="FFFFFF" w:themeFill="background1"/>
          </w:tcPr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Оказание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консультационной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495944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согласно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закону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11.11.2010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strike/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492-ЗС</w:t>
            </w:r>
          </w:p>
        </w:tc>
        <w:tc>
          <w:tcPr>
            <w:tcW w:w="3137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создание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экономических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условий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институтов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инициатив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гражданского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3419" w:type="dxa"/>
            <w:shd w:val="clear" w:color="auto" w:fill="FFFFFF" w:themeFill="background1"/>
          </w:tcPr>
          <w:p w:rsidR="004E5978" w:rsidRDefault="008972DB" w:rsidP="001A35CE">
            <w:pPr>
              <w:rPr>
                <w:bCs/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управление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социально-политических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коммуникаций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Правительства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bCs/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bCs/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bCs/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2424" w:type="dxa"/>
            <w:shd w:val="clear" w:color="auto" w:fill="FFFFFF" w:themeFill="background1"/>
          </w:tcPr>
          <w:p w:rsidR="008972DB" w:rsidRPr="001A35CE" w:rsidRDefault="008972DB" w:rsidP="001A35CE">
            <w:pPr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весь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</w:tr>
    </w:tbl>
    <w:p w:rsidR="008972DB" w:rsidRPr="001A35CE" w:rsidRDefault="008972DB" w:rsidP="001A35CE">
      <w:pPr>
        <w:autoSpaceDE w:val="0"/>
        <w:autoSpaceDN w:val="0"/>
        <w:adjustRightInd w:val="0"/>
        <w:rPr>
          <w:kern w:val="2"/>
          <w:sz w:val="28"/>
          <w:szCs w:val="28"/>
        </w:rPr>
      </w:pPr>
    </w:p>
    <w:p w:rsidR="008972DB" w:rsidRPr="001A35CE" w:rsidRDefault="008972DB" w:rsidP="002A13FB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СВЕДЕНИЯ</w:t>
      </w:r>
    </w:p>
    <w:p w:rsidR="008972DB" w:rsidRPr="001A35CE" w:rsidRDefault="008972DB" w:rsidP="002A13FB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о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показателях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(индикаторах)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развития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конкурентной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среды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в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Ростовской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области</w:t>
      </w:r>
    </w:p>
    <w:p w:rsidR="008972DB" w:rsidRPr="001A35CE" w:rsidRDefault="008972DB" w:rsidP="001A35CE">
      <w:pPr>
        <w:autoSpaceDE w:val="0"/>
        <w:autoSpaceDN w:val="0"/>
        <w:adjustRightInd w:val="0"/>
        <w:rPr>
          <w:kern w:val="2"/>
          <w:sz w:val="28"/>
          <w:szCs w:val="28"/>
        </w:rPr>
      </w:pPr>
    </w:p>
    <w:tbl>
      <w:tblPr>
        <w:tblStyle w:val="afc"/>
        <w:tblW w:w="5000" w:type="pct"/>
        <w:tblLayout w:type="fixed"/>
        <w:tblLook w:val="04A0" w:firstRow="1" w:lastRow="0" w:firstColumn="1" w:lastColumn="0" w:noHBand="0" w:noVBand="1"/>
      </w:tblPr>
      <w:tblGrid>
        <w:gridCol w:w="1051"/>
        <w:gridCol w:w="5024"/>
        <w:gridCol w:w="1522"/>
        <w:gridCol w:w="1246"/>
        <w:gridCol w:w="1246"/>
        <w:gridCol w:w="1245"/>
        <w:gridCol w:w="1246"/>
        <w:gridCol w:w="1246"/>
        <w:gridCol w:w="1245"/>
      </w:tblGrid>
      <w:tr w:rsidR="001A35CE" w:rsidRPr="001A35CE" w:rsidTr="00C51672">
        <w:tc>
          <w:tcPr>
            <w:tcW w:w="1051" w:type="dxa"/>
            <w:vMerge w:val="restart"/>
          </w:tcPr>
          <w:p w:rsidR="00BD2EB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№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п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/п</w:t>
            </w:r>
          </w:p>
        </w:tc>
        <w:tc>
          <w:tcPr>
            <w:tcW w:w="5024" w:type="dxa"/>
            <w:vMerge w:val="restart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Номер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наименование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br/>
              <w:t>показателя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(индикатора)</w:t>
            </w:r>
          </w:p>
        </w:tc>
        <w:tc>
          <w:tcPr>
            <w:tcW w:w="1522" w:type="dxa"/>
            <w:vMerge w:val="restart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1A35CE">
              <w:rPr>
                <w:kern w:val="2"/>
                <w:sz w:val="28"/>
                <w:szCs w:val="28"/>
                <w:lang w:eastAsia="en-US"/>
              </w:rPr>
              <w:t>Единица</w:t>
            </w:r>
            <w:r w:rsidR="001A35CE" w:rsidRPr="001A35C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eastAsia="en-US"/>
              </w:rPr>
              <w:t>измерения</w:t>
            </w:r>
          </w:p>
        </w:tc>
        <w:tc>
          <w:tcPr>
            <w:tcW w:w="7474" w:type="dxa"/>
            <w:gridSpan w:val="6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  <w:lang w:eastAsia="en-US"/>
              </w:rPr>
            </w:pPr>
            <w:r w:rsidRPr="001A35CE">
              <w:rPr>
                <w:kern w:val="2"/>
                <w:sz w:val="28"/>
                <w:szCs w:val="28"/>
                <w:lang w:eastAsia="en-US"/>
              </w:rPr>
              <w:t>Значение</w:t>
            </w:r>
            <w:r w:rsidR="001A35CE" w:rsidRPr="001A35C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1A35CE">
              <w:rPr>
                <w:kern w:val="2"/>
                <w:sz w:val="28"/>
                <w:szCs w:val="28"/>
                <w:lang w:eastAsia="en-US"/>
              </w:rPr>
              <w:t>показателя</w:t>
            </w:r>
          </w:p>
        </w:tc>
      </w:tr>
      <w:tr w:rsidR="001A35CE" w:rsidRPr="001A35CE" w:rsidTr="00C51672">
        <w:tc>
          <w:tcPr>
            <w:tcW w:w="1051" w:type="dxa"/>
            <w:vMerge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  <w:vMerge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522" w:type="dxa"/>
            <w:vMerge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2019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2020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</w:tr>
    </w:tbl>
    <w:p w:rsidR="00C51672" w:rsidRPr="00C51672" w:rsidRDefault="00C51672">
      <w:pPr>
        <w:rPr>
          <w:sz w:val="2"/>
          <w:szCs w:val="2"/>
        </w:rPr>
      </w:pPr>
    </w:p>
    <w:tbl>
      <w:tblPr>
        <w:tblStyle w:val="afc"/>
        <w:tblW w:w="5000" w:type="pct"/>
        <w:tblLayout w:type="fixed"/>
        <w:tblLook w:val="04A0" w:firstRow="1" w:lastRow="0" w:firstColumn="1" w:lastColumn="0" w:noHBand="0" w:noVBand="1"/>
      </w:tblPr>
      <w:tblGrid>
        <w:gridCol w:w="1051"/>
        <w:gridCol w:w="5024"/>
        <w:gridCol w:w="1522"/>
        <w:gridCol w:w="1246"/>
        <w:gridCol w:w="1246"/>
        <w:gridCol w:w="1245"/>
        <w:gridCol w:w="1246"/>
        <w:gridCol w:w="1246"/>
        <w:gridCol w:w="1245"/>
      </w:tblGrid>
      <w:tr w:rsidR="001A35CE" w:rsidRPr="001A35CE" w:rsidTr="00C51672">
        <w:trPr>
          <w:tblHeader/>
        </w:trPr>
        <w:tc>
          <w:tcPr>
            <w:tcW w:w="1051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</w:p>
        </w:tc>
        <w:tc>
          <w:tcPr>
            <w:tcW w:w="5024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8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Удельный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вес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1,8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17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воспользовавшихся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бесплатными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путевками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загородные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санаторные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получивших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компенсацию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самостоятельно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приобретенные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путевки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загородные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санаторные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оздоровительные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этой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категории,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отдохнувших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соответствующего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(стационарный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лагерь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(приоритет),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дневным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пребыванием,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палаточном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стационарно-оздоровительном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лагере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труда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отдыха)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27,7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Темп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молодежи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18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проживающих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образовательную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общеобразовательным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программам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затрат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помощь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медицинскому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оказанную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(немуниципальными)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медицинскими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расходах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выполнение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территориальных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медицинского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страхования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2,86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11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927E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927E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927E6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(немуниципальных)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ранней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диагностики,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социализации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реабилитации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лет),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общем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оказывающих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9427BD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психолого-педагогического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сопровождения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здоровья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раннего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возраста</w:t>
            </w:r>
          </w:p>
        </w:tc>
        <w:tc>
          <w:tcPr>
            <w:tcW w:w="1522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927E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927E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927E6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расходов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бюджета,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распределяемых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конкурсной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выделяемых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финансирование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культуры</w:t>
            </w:r>
          </w:p>
        </w:tc>
        <w:tc>
          <w:tcPr>
            <w:tcW w:w="1522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14,8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927E6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927E64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получивших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лицензии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многоквартирными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домами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«горячей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телефонной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линии»,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электронной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связи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прикрепления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файлов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фото-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видеосъемки)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жилищно-коммунального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неэффективное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управление,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переданных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частным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графиками,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актуализированными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основании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проведенного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анализа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эффективности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управления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Розничная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торговля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осуществляемой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рынках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ярмарках,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структуре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9,2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9,5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опрошенных,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считающих,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состояние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улучшилось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истекший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опрошенных,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считающих,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что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spellStart"/>
            <w:r w:rsidRPr="001A35CE">
              <w:rPr>
                <w:kern w:val="2"/>
                <w:sz w:val="28"/>
                <w:szCs w:val="28"/>
              </w:rPr>
              <w:t>антиконкурентных</w:t>
            </w:r>
            <w:proofErr w:type="spell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действий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власти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самоуправления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меньше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истекший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Удельный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вес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обеспечивших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выполнение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установленных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нормативов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минимальной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площадью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стационарных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городских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округов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районов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60,0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65,5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72,7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78,0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85,5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аптечных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фармацевтической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продукцией,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общем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аптечных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розничную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торговлю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фармацевтической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9427BD">
              <w:rPr>
                <w:kern w:val="2"/>
                <w:sz w:val="28"/>
                <w:szCs w:val="28"/>
              </w:rPr>
              <w:t>продукцией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91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93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94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(немуниципальных)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регулярных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регулярных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76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77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79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80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регулярных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(немуниципальными)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регулярных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tabs>
                <w:tab w:val="left" w:pos="657"/>
              </w:tabs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76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77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79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80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рейсов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межмуниципальным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маршрутам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регулярных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пассажиров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наземным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транспортом,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(немуниципальными)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перевозчиками,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рейсов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51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52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53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54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spacing w:line="228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домохозяйств,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имеющих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пользоваться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проводного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мобильного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широкополосного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доступа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информационно-телекоммуникационную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«Интернет»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скорости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менее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Мбит/сек,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предоставляемыми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менее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операторами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связи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57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61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62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63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64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населения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Удельный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вес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основанных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учреждений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форм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собственности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2,5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4,0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5,0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животноводства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молока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всех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категорий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тыс.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тонн</w:t>
            </w:r>
          </w:p>
        </w:tc>
        <w:tc>
          <w:tcPr>
            <w:tcW w:w="1246" w:type="dxa"/>
          </w:tcPr>
          <w:p w:rsidR="008972DB" w:rsidRPr="001A35CE" w:rsidRDefault="00BD2EBE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081,0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087,0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093,0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100,0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112,0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жилищного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Темп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ввода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жилья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эксплуатацию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103,6</w:t>
            </w:r>
          </w:p>
        </w:tc>
        <w:tc>
          <w:tcPr>
            <w:tcW w:w="1246" w:type="dxa"/>
          </w:tcPr>
          <w:p w:rsidR="008972DB" w:rsidRPr="001A35CE" w:rsidRDefault="009427BD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91,5</w:t>
            </w:r>
          </w:p>
        </w:tc>
        <w:tc>
          <w:tcPr>
            <w:tcW w:w="1245" w:type="dxa"/>
          </w:tcPr>
          <w:p w:rsidR="008972DB" w:rsidRPr="001A35CE" w:rsidRDefault="009427BD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89,4</w:t>
            </w:r>
          </w:p>
        </w:tc>
        <w:tc>
          <w:tcPr>
            <w:tcW w:w="1246" w:type="dxa"/>
          </w:tcPr>
          <w:p w:rsidR="008972DB" w:rsidRPr="001A35CE" w:rsidRDefault="009427BD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100,2</w:t>
            </w:r>
          </w:p>
        </w:tc>
        <w:tc>
          <w:tcPr>
            <w:tcW w:w="1246" w:type="dxa"/>
          </w:tcPr>
          <w:p w:rsidR="008972DB" w:rsidRPr="001A35CE" w:rsidRDefault="009427BD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104,0</w:t>
            </w:r>
          </w:p>
        </w:tc>
        <w:tc>
          <w:tcPr>
            <w:tcW w:w="1245" w:type="dxa"/>
          </w:tcPr>
          <w:p w:rsidR="008972DB" w:rsidRPr="001A35CE" w:rsidRDefault="009427BD" w:rsidP="00C51672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105,5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C51672">
            <w:pPr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Рынок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C5167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1A35CE">
            <w:pPr>
              <w:autoSpaceDE w:val="0"/>
              <w:autoSpaceDN w:val="0"/>
              <w:adjustRightInd w:val="0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Индекс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промышленного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производства</w:t>
            </w:r>
          </w:p>
        </w:tc>
        <w:tc>
          <w:tcPr>
            <w:tcW w:w="1522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154,6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103,1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103,0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103,9</w:t>
            </w:r>
          </w:p>
        </w:tc>
        <w:tc>
          <w:tcPr>
            <w:tcW w:w="1246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104,5</w:t>
            </w:r>
          </w:p>
        </w:tc>
        <w:tc>
          <w:tcPr>
            <w:tcW w:w="1245" w:type="dxa"/>
          </w:tcPr>
          <w:p w:rsidR="008972DB" w:rsidRPr="001A35CE" w:rsidRDefault="008972DB" w:rsidP="00C51672">
            <w:pPr>
              <w:autoSpaceDE w:val="0"/>
              <w:autoSpaceDN w:val="0"/>
              <w:adjustRightInd w:val="0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104,7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pageBreakBefore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4020" w:type="dxa"/>
            <w:gridSpan w:val="8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Системные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развитию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Ростовской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области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1.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Доля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(включая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любые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являются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только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закупки,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D368D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отношении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заказчиком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устанавливается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требование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привлечении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исполнению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договора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субподрядчиков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(соисполнителей)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годовом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стоимостном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объеме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осуществляемых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соответствии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Федеральным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законом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9427BD">
              <w:rPr>
                <w:kern w:val="2"/>
                <w:sz w:val="28"/>
                <w:szCs w:val="28"/>
              </w:rPr>
              <w:t xml:space="preserve">от 18.07.2011 № 223-ФЗ </w:t>
            </w:r>
            <w:r w:rsidRPr="001A35CE">
              <w:rPr>
                <w:kern w:val="2"/>
                <w:sz w:val="28"/>
                <w:szCs w:val="28"/>
              </w:rPr>
              <w:t>«О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закупках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товаров,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работ,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отдельными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видами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юридических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лиц»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BD2EBE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участников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конкурентных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процедур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определения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поставщиков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(подрядчиков,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исполнителей)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закупок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нужд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единиц</w:t>
            </w:r>
          </w:p>
        </w:tc>
        <w:tc>
          <w:tcPr>
            <w:tcW w:w="1246" w:type="dxa"/>
          </w:tcPr>
          <w:p w:rsidR="008972DB" w:rsidRPr="001A35CE" w:rsidRDefault="00BD2EBE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–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3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D368D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3.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Соотношение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приватизированных</w:t>
            </w:r>
            <w:proofErr w:type="gramEnd"/>
            <w:r w:rsidRPr="001A35CE">
              <w:rPr>
                <w:kern w:val="2"/>
                <w:sz w:val="28"/>
                <w:szCs w:val="28"/>
              </w:rPr>
              <w:t>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начиная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D368D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комплексов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33312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(за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исключением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безопасности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33312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proofErr w:type="gramStart"/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перечень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стратегических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="009427BD">
              <w:rPr>
                <w:kern w:val="2"/>
                <w:sz w:val="28"/>
                <w:szCs w:val="28"/>
              </w:rPr>
              <w:t>предприятий)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количества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унитарных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(за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исключением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связанных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End"/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обеспечением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обороны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безопасности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также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перечень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стратегических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предприятий),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осуществляющих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7,4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76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77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79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4.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Соотношение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акции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(доли)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которых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были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полностью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приватизированы,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начиная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2013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года,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хозяйственных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участием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капитале,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осуществлявших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деятельность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данный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период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Российской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Федерации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процентов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10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75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76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77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78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79</w:t>
            </w:r>
            <w:r w:rsidR="009427BD">
              <w:rPr>
                <w:kern w:val="2"/>
                <w:sz w:val="28"/>
                <w:szCs w:val="28"/>
              </w:rPr>
              <w:t>,0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5.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утвержденного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типового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административного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регламента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выдаче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разрешения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типового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административного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регламента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предоставления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муниципальной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услуги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выдаче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разрешений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ввод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эксплуатацию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осуществлении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реконструкции,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капитального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ремонта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капитального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строительства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6.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передаче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proofErr w:type="gramStart"/>
            <w:r w:rsidRPr="001A35CE">
              <w:rPr>
                <w:kern w:val="2"/>
                <w:sz w:val="28"/>
                <w:szCs w:val="28"/>
              </w:rPr>
              <w:t>государственных</w:t>
            </w:r>
            <w:proofErr w:type="gramEnd"/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(муниципальных)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недвижимого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включая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неиспользуемые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назначению,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негосударственным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(немуниципальным)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организациям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посредством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обязательством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сохранения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целевого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назначения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использования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объекта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недвижимого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имущества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нескольких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следующих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сфер: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Дошкольное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Детский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Здравоохранение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Социальное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практике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применением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механизмов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государственно-частного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партнерства,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посредством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заключения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концессионного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соглашения,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одной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или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нескольких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из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следующих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сфер: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Детский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Спорт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Здравоохранение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Социальное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обслуживание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Дошкольное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образование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Культура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  <w:tr w:rsidR="001A35CE" w:rsidRPr="001A35CE" w:rsidTr="00C51672">
        <w:tc>
          <w:tcPr>
            <w:tcW w:w="1051" w:type="dxa"/>
          </w:tcPr>
          <w:p w:rsidR="008972DB" w:rsidRPr="001A35CE" w:rsidRDefault="008972DB" w:rsidP="007E6F6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35" w:lineRule="auto"/>
              <w:ind w:left="0" w:firstLine="0"/>
              <w:contextualSpacing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5024" w:type="dxa"/>
          </w:tcPr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Показатель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7.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Наличие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региональных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программах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социально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ориентированных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некоммерческих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организаций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(или)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субъектов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малого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7A1FB6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среднего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предпринимательства,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</w:p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том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числе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индивидуальных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предпринимателей,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мероприятий,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направленных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поддержку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негосударственного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(немуниципального)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сектора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таких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сферах,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как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дошкольное,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общее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образование,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детский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отдых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оздоровление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дополнительное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образование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детей,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производство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технических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средств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реабилитации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для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лиц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с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ограниченными</w:t>
            </w:r>
            <w:r w:rsidR="001A35CE" w:rsidRPr="001A35CE">
              <w:rPr>
                <w:kern w:val="2"/>
                <w:sz w:val="28"/>
                <w:szCs w:val="28"/>
              </w:rPr>
              <w:t xml:space="preserve"> </w:t>
            </w:r>
            <w:r w:rsidRPr="001A35CE">
              <w:rPr>
                <w:kern w:val="2"/>
                <w:sz w:val="28"/>
                <w:szCs w:val="28"/>
              </w:rPr>
              <w:t>возможностями</w:t>
            </w:r>
          </w:p>
        </w:tc>
        <w:tc>
          <w:tcPr>
            <w:tcW w:w="1522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да/нет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6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  <w:tc>
          <w:tcPr>
            <w:tcW w:w="1245" w:type="dxa"/>
          </w:tcPr>
          <w:p w:rsidR="008972DB" w:rsidRPr="001A35CE" w:rsidRDefault="008972DB" w:rsidP="007E6F65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kern w:val="2"/>
                <w:sz w:val="28"/>
                <w:szCs w:val="28"/>
              </w:rPr>
            </w:pPr>
            <w:r w:rsidRPr="001A35CE">
              <w:rPr>
                <w:kern w:val="2"/>
                <w:sz w:val="28"/>
                <w:szCs w:val="28"/>
              </w:rPr>
              <w:t>да</w:t>
            </w:r>
          </w:p>
        </w:tc>
      </w:tr>
    </w:tbl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</w:p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Примечание.</w:t>
      </w:r>
    </w:p>
    <w:p w:rsidR="008972DB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 w:rsidRPr="001A35CE">
        <w:rPr>
          <w:kern w:val="2"/>
          <w:sz w:val="28"/>
          <w:szCs w:val="28"/>
        </w:rPr>
        <w:t>Список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используемых</w:t>
      </w:r>
      <w:r w:rsidR="001A35CE" w:rsidRPr="001A35CE">
        <w:rPr>
          <w:kern w:val="2"/>
          <w:sz w:val="28"/>
          <w:szCs w:val="28"/>
        </w:rPr>
        <w:t xml:space="preserve"> </w:t>
      </w:r>
      <w:r w:rsidRPr="001A35CE">
        <w:rPr>
          <w:kern w:val="2"/>
          <w:sz w:val="28"/>
          <w:szCs w:val="28"/>
        </w:rPr>
        <w:t>сокращений:</w:t>
      </w:r>
    </w:p>
    <w:p w:rsidR="00200650" w:rsidRDefault="00200650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г. – город;</w:t>
      </w:r>
    </w:p>
    <w:p w:rsidR="00200650" w:rsidRDefault="00200650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ГКУ РО </w:t>
      </w:r>
      <w:r w:rsidR="004A722E">
        <w:rPr>
          <w:kern w:val="2"/>
          <w:sz w:val="28"/>
          <w:szCs w:val="28"/>
        </w:rPr>
        <w:t>–</w:t>
      </w:r>
      <w:r w:rsidR="000E3E13">
        <w:rPr>
          <w:kern w:val="2"/>
          <w:sz w:val="28"/>
          <w:szCs w:val="28"/>
        </w:rPr>
        <w:t xml:space="preserve"> </w:t>
      </w:r>
      <w:r w:rsidR="004A722E">
        <w:rPr>
          <w:kern w:val="2"/>
          <w:sz w:val="28"/>
          <w:szCs w:val="28"/>
        </w:rPr>
        <w:t>государственное казенное учреждение Ростовской области;</w:t>
      </w:r>
    </w:p>
    <w:p w:rsidR="004A722E" w:rsidRDefault="000E3E13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ГМТ – газо</w:t>
      </w:r>
      <w:r w:rsidR="004A722E">
        <w:rPr>
          <w:kern w:val="2"/>
          <w:sz w:val="28"/>
          <w:szCs w:val="28"/>
        </w:rPr>
        <w:t>моторное топливо;</w:t>
      </w:r>
    </w:p>
    <w:p w:rsidR="004A722E" w:rsidRDefault="004A722E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им. – имени;</w:t>
      </w:r>
    </w:p>
    <w:p w:rsidR="004A722E" w:rsidRDefault="004A722E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кв. – квадратный;</w:t>
      </w:r>
    </w:p>
    <w:p w:rsidR="008972DB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r w:rsidRPr="001A35CE">
        <w:rPr>
          <w:bCs/>
          <w:kern w:val="2"/>
          <w:sz w:val="28"/>
          <w:szCs w:val="28"/>
        </w:rPr>
        <w:t>МФЦ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–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многофункциональный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центр;</w:t>
      </w:r>
    </w:p>
    <w:p w:rsidR="004A722E" w:rsidRDefault="004A722E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proofErr w:type="spellStart"/>
      <w:r>
        <w:rPr>
          <w:bCs/>
          <w:kern w:val="2"/>
          <w:sz w:val="28"/>
          <w:szCs w:val="28"/>
        </w:rPr>
        <w:t>Минэкономсвязи</w:t>
      </w:r>
      <w:proofErr w:type="spellEnd"/>
      <w:r>
        <w:rPr>
          <w:bCs/>
          <w:kern w:val="2"/>
          <w:sz w:val="28"/>
          <w:szCs w:val="28"/>
        </w:rPr>
        <w:t xml:space="preserve"> России – Министерство связи и массовых коммуникаций Российской Федерации;</w:t>
      </w:r>
    </w:p>
    <w:p w:rsidR="004A722E" w:rsidRDefault="004A722E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Минэкономразвития России – Министерство экономического развития Российской Федерации;</w:t>
      </w:r>
    </w:p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r w:rsidRPr="001A35CE">
        <w:rPr>
          <w:bCs/>
          <w:kern w:val="2"/>
          <w:sz w:val="28"/>
          <w:szCs w:val="28"/>
        </w:rPr>
        <w:t>НП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«ЕРЦИР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Ростовской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области»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–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некоммерческое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партнерство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«Ед</w:t>
      </w:r>
      <w:bookmarkStart w:id="2" w:name="_GoBack"/>
      <w:bookmarkEnd w:id="2"/>
      <w:r w:rsidRPr="001A35CE">
        <w:rPr>
          <w:bCs/>
          <w:kern w:val="2"/>
          <w:sz w:val="28"/>
          <w:szCs w:val="28"/>
        </w:rPr>
        <w:t>иный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региональный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центр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инновационного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развития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Ростовской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области»;</w:t>
      </w:r>
    </w:p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r w:rsidRPr="001A35CE">
        <w:rPr>
          <w:bCs/>
          <w:kern w:val="2"/>
          <w:sz w:val="28"/>
          <w:szCs w:val="28"/>
        </w:rPr>
        <w:t>ОВЗ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–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ограниченные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возможности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здоровья;</w:t>
      </w:r>
    </w:p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  <w:r w:rsidRPr="001A35CE">
        <w:rPr>
          <w:bCs/>
          <w:kern w:val="2"/>
          <w:sz w:val="28"/>
          <w:szCs w:val="28"/>
        </w:rPr>
        <w:t>ПМПК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–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психолого-медико-педагогическая</w:t>
      </w:r>
      <w:r w:rsidR="001A35CE" w:rsidRPr="001A35CE">
        <w:rPr>
          <w:bCs/>
          <w:kern w:val="2"/>
          <w:sz w:val="28"/>
          <w:szCs w:val="28"/>
        </w:rPr>
        <w:t xml:space="preserve"> </w:t>
      </w:r>
      <w:r w:rsidRPr="001A35CE">
        <w:rPr>
          <w:bCs/>
          <w:kern w:val="2"/>
          <w:sz w:val="28"/>
          <w:szCs w:val="28"/>
        </w:rPr>
        <w:t>комиссия.</w:t>
      </w:r>
    </w:p>
    <w:p w:rsidR="008972DB" w:rsidRPr="001A35CE" w:rsidRDefault="008972DB" w:rsidP="007E6F65">
      <w:pPr>
        <w:autoSpaceDE w:val="0"/>
        <w:autoSpaceDN w:val="0"/>
        <w:adjustRightInd w:val="0"/>
        <w:spacing w:line="235" w:lineRule="auto"/>
        <w:ind w:firstLine="709"/>
        <w:jc w:val="both"/>
        <w:rPr>
          <w:bCs/>
          <w:kern w:val="2"/>
          <w:sz w:val="28"/>
          <w:szCs w:val="28"/>
        </w:rPr>
      </w:pPr>
    </w:p>
    <w:p w:rsidR="00145656" w:rsidRPr="001A35CE" w:rsidRDefault="00145656" w:rsidP="007E6F65">
      <w:pPr>
        <w:autoSpaceDE w:val="0"/>
        <w:autoSpaceDN w:val="0"/>
        <w:adjustRightInd w:val="0"/>
        <w:spacing w:line="235" w:lineRule="auto"/>
        <w:rPr>
          <w:bCs/>
          <w:kern w:val="2"/>
          <w:sz w:val="28"/>
          <w:szCs w:val="28"/>
        </w:rPr>
      </w:pPr>
    </w:p>
    <w:p w:rsidR="008972DB" w:rsidRPr="001A35CE" w:rsidRDefault="008972DB" w:rsidP="007E6F65">
      <w:pPr>
        <w:spacing w:line="235" w:lineRule="auto"/>
        <w:rPr>
          <w:kern w:val="2"/>
          <w:sz w:val="28"/>
          <w:szCs w:val="28"/>
        </w:rPr>
      </w:pPr>
    </w:p>
    <w:p w:rsidR="002A13FB" w:rsidRDefault="002A13FB" w:rsidP="007E6F65">
      <w:pPr>
        <w:spacing w:line="235" w:lineRule="auto"/>
        <w:ind w:left="770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2A13FB" w:rsidRDefault="002A13FB" w:rsidP="007E6F65">
      <w:pPr>
        <w:spacing w:line="235" w:lineRule="auto"/>
        <w:ind w:left="142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2A13FB" w:rsidRPr="004104B6" w:rsidRDefault="002A13FB" w:rsidP="007E6F65">
      <w:pPr>
        <w:tabs>
          <w:tab w:val="left" w:pos="9120"/>
        </w:tabs>
        <w:spacing w:line="235" w:lineRule="auto"/>
        <w:rPr>
          <w:sz w:val="28"/>
          <w:szCs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                     Т.А. </w:t>
      </w:r>
      <w:proofErr w:type="spellStart"/>
      <w:r>
        <w:rPr>
          <w:sz w:val="28"/>
        </w:rPr>
        <w:t>Родионченко</w:t>
      </w:r>
      <w:proofErr w:type="spellEnd"/>
    </w:p>
    <w:p w:rsidR="008972DB" w:rsidRPr="001A35CE" w:rsidRDefault="008972DB" w:rsidP="007E6F65">
      <w:pPr>
        <w:spacing w:line="235" w:lineRule="auto"/>
        <w:rPr>
          <w:kern w:val="2"/>
          <w:sz w:val="28"/>
          <w:szCs w:val="28"/>
        </w:rPr>
      </w:pPr>
    </w:p>
    <w:sectPr w:rsidR="008972DB" w:rsidRPr="001A35CE" w:rsidSect="00145656">
      <w:footerReference w:type="even" r:id="rId11"/>
      <w:footerReference w:type="default" r:id="rId12"/>
      <w:pgSz w:w="16840" w:h="11907" w:orient="landscape" w:code="9"/>
      <w:pgMar w:top="1304" w:right="851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75" w:rsidRDefault="00294B75">
      <w:r>
        <w:separator/>
      </w:r>
    </w:p>
  </w:endnote>
  <w:endnote w:type="continuationSeparator" w:id="0">
    <w:p w:rsidR="00294B75" w:rsidRDefault="0029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Andale Sans UI">
    <w:altName w:val="Arial Unicode MS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75" w:rsidRDefault="00294B75" w:rsidP="00145656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79B5">
      <w:rPr>
        <w:rStyle w:val="ab"/>
        <w:noProof/>
      </w:rPr>
      <w:t>1</w:t>
    </w:r>
    <w:r>
      <w:rPr>
        <w:rStyle w:val="ab"/>
      </w:rPr>
      <w:fldChar w:fldCharType="end"/>
    </w:r>
  </w:p>
  <w:p w:rsidR="00294B75" w:rsidRPr="00145656" w:rsidRDefault="00294B75">
    <w:pPr>
      <w:pStyle w:val="a7"/>
      <w:rPr>
        <w:lang w:val="en-US"/>
      </w:rPr>
    </w:pPr>
    <w:r>
      <w:fldChar w:fldCharType="begin"/>
    </w:r>
    <w:r w:rsidRPr="00145656">
      <w:rPr>
        <w:lang w:val="en-US"/>
      </w:rPr>
      <w:instrText xml:space="preserve"> FILENAME  \p  \* MERGEFORMAT </w:instrText>
    </w:r>
    <w:r>
      <w:fldChar w:fldCharType="separate"/>
    </w:r>
    <w:r w:rsidR="009772CC">
      <w:rPr>
        <w:noProof/>
        <w:lang w:val="en-US"/>
      </w:rPr>
      <w:t>Z:\ORST\Ppo\ppo864.f16.docx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75" w:rsidRDefault="00294B7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94B75" w:rsidRDefault="00294B75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B75" w:rsidRDefault="00294B75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C79B5">
      <w:rPr>
        <w:rStyle w:val="ab"/>
        <w:noProof/>
      </w:rPr>
      <w:t>3</w:t>
    </w:r>
    <w:r>
      <w:rPr>
        <w:rStyle w:val="ab"/>
      </w:rPr>
      <w:fldChar w:fldCharType="end"/>
    </w:r>
  </w:p>
  <w:p w:rsidR="00294B75" w:rsidRPr="00145656" w:rsidRDefault="00294B75" w:rsidP="00145656">
    <w:pPr>
      <w:pStyle w:val="a7"/>
      <w:rPr>
        <w:lang w:val="en-US"/>
      </w:rPr>
    </w:pPr>
    <w:r>
      <w:fldChar w:fldCharType="begin"/>
    </w:r>
    <w:r w:rsidRPr="00145656">
      <w:rPr>
        <w:lang w:val="en-US"/>
      </w:rPr>
      <w:instrText xml:space="preserve"> FILENAME  \p  \* MERGEFORMAT </w:instrText>
    </w:r>
    <w:r>
      <w:fldChar w:fldCharType="separate"/>
    </w:r>
    <w:r w:rsidR="009772CC">
      <w:rPr>
        <w:noProof/>
        <w:lang w:val="en-US"/>
      </w:rPr>
      <w:t>Z:\ORST\Ppo\ppo864.f16.docx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75" w:rsidRDefault="00294B75">
      <w:r>
        <w:separator/>
      </w:r>
    </w:p>
  </w:footnote>
  <w:footnote w:type="continuationSeparator" w:id="0">
    <w:p w:rsidR="00294B75" w:rsidRDefault="00294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7F88"/>
    <w:multiLevelType w:val="hybridMultilevel"/>
    <w:tmpl w:val="6192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E6CC3"/>
    <w:multiLevelType w:val="hybridMultilevel"/>
    <w:tmpl w:val="15547DEA"/>
    <w:lvl w:ilvl="0" w:tplc="6E645AF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476C62"/>
    <w:multiLevelType w:val="hybridMultilevel"/>
    <w:tmpl w:val="55946CC0"/>
    <w:lvl w:ilvl="0" w:tplc="7CC88478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3F57FE9"/>
    <w:multiLevelType w:val="hybridMultilevel"/>
    <w:tmpl w:val="E64EC5A8"/>
    <w:lvl w:ilvl="0" w:tplc="6C9632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96281"/>
    <w:multiLevelType w:val="hybridMultilevel"/>
    <w:tmpl w:val="3CCCB9F4"/>
    <w:lvl w:ilvl="0" w:tplc="81C4B550">
      <w:start w:val="3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A49B6"/>
    <w:multiLevelType w:val="multilevel"/>
    <w:tmpl w:val="3EE0609E"/>
    <w:lvl w:ilvl="0">
      <w:start w:val="1"/>
      <w:numFmt w:val="decimal"/>
      <w:suff w:val="space"/>
      <w:lvlText w:val="%1."/>
      <w:lvlJc w:val="left"/>
      <w:pPr>
        <w:ind w:left="1729" w:hanging="10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6338299D"/>
    <w:multiLevelType w:val="hybridMultilevel"/>
    <w:tmpl w:val="71B0C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3310B1"/>
    <w:multiLevelType w:val="hybridMultilevel"/>
    <w:tmpl w:val="2A68596A"/>
    <w:lvl w:ilvl="0" w:tplc="B2A84F7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2DB"/>
    <w:rsid w:val="00012CAA"/>
    <w:rsid w:val="00050C68"/>
    <w:rsid w:val="0005372C"/>
    <w:rsid w:val="00054D8B"/>
    <w:rsid w:val="000559D5"/>
    <w:rsid w:val="00056E23"/>
    <w:rsid w:val="00060F3C"/>
    <w:rsid w:val="000808D6"/>
    <w:rsid w:val="00085F70"/>
    <w:rsid w:val="000A2795"/>
    <w:rsid w:val="000A726F"/>
    <w:rsid w:val="000B4002"/>
    <w:rsid w:val="000B66C7"/>
    <w:rsid w:val="000C430D"/>
    <w:rsid w:val="000E3E13"/>
    <w:rsid w:val="000F2B40"/>
    <w:rsid w:val="000F5B6A"/>
    <w:rsid w:val="001027BA"/>
    <w:rsid w:val="00104E0D"/>
    <w:rsid w:val="0010504A"/>
    <w:rsid w:val="00116BFA"/>
    <w:rsid w:val="00125DE3"/>
    <w:rsid w:val="00145656"/>
    <w:rsid w:val="00153B21"/>
    <w:rsid w:val="001A35CE"/>
    <w:rsid w:val="001B2D1C"/>
    <w:rsid w:val="001C1D98"/>
    <w:rsid w:val="001D2383"/>
    <w:rsid w:val="001D2690"/>
    <w:rsid w:val="001F2A40"/>
    <w:rsid w:val="001F4BE3"/>
    <w:rsid w:val="001F6D02"/>
    <w:rsid w:val="00200650"/>
    <w:rsid w:val="002504E8"/>
    <w:rsid w:val="00252E0E"/>
    <w:rsid w:val="00254382"/>
    <w:rsid w:val="0027031E"/>
    <w:rsid w:val="0028703B"/>
    <w:rsid w:val="00294B75"/>
    <w:rsid w:val="002A13FB"/>
    <w:rsid w:val="002A2062"/>
    <w:rsid w:val="002A31A1"/>
    <w:rsid w:val="002B48A7"/>
    <w:rsid w:val="002B6527"/>
    <w:rsid w:val="002C135C"/>
    <w:rsid w:val="002C5E60"/>
    <w:rsid w:val="002E65D5"/>
    <w:rsid w:val="002F63E3"/>
    <w:rsid w:val="002F74D7"/>
    <w:rsid w:val="0030124B"/>
    <w:rsid w:val="00313D3A"/>
    <w:rsid w:val="00325B3D"/>
    <w:rsid w:val="00333126"/>
    <w:rsid w:val="00341FC1"/>
    <w:rsid w:val="0037040B"/>
    <w:rsid w:val="003866D0"/>
    <w:rsid w:val="003921D8"/>
    <w:rsid w:val="003B2193"/>
    <w:rsid w:val="003E4F4C"/>
    <w:rsid w:val="00407B71"/>
    <w:rsid w:val="00425061"/>
    <w:rsid w:val="0043686A"/>
    <w:rsid w:val="00441069"/>
    <w:rsid w:val="00444636"/>
    <w:rsid w:val="00445636"/>
    <w:rsid w:val="00453869"/>
    <w:rsid w:val="004711EC"/>
    <w:rsid w:val="00480026"/>
    <w:rsid w:val="00480BC7"/>
    <w:rsid w:val="0048404E"/>
    <w:rsid w:val="004871AA"/>
    <w:rsid w:val="00495944"/>
    <w:rsid w:val="004A722E"/>
    <w:rsid w:val="004B6A5C"/>
    <w:rsid w:val="004E5978"/>
    <w:rsid w:val="004E78FD"/>
    <w:rsid w:val="004F7011"/>
    <w:rsid w:val="00515D9C"/>
    <w:rsid w:val="00531FBD"/>
    <w:rsid w:val="0053366A"/>
    <w:rsid w:val="0057298C"/>
    <w:rsid w:val="00587BF6"/>
    <w:rsid w:val="00591077"/>
    <w:rsid w:val="005C5FF3"/>
    <w:rsid w:val="005F2F31"/>
    <w:rsid w:val="00611679"/>
    <w:rsid w:val="00613D7D"/>
    <w:rsid w:val="006564DB"/>
    <w:rsid w:val="00660EE3"/>
    <w:rsid w:val="00676B57"/>
    <w:rsid w:val="006B1CD9"/>
    <w:rsid w:val="006E52D6"/>
    <w:rsid w:val="007120F8"/>
    <w:rsid w:val="007219F0"/>
    <w:rsid w:val="00732958"/>
    <w:rsid w:val="007730B1"/>
    <w:rsid w:val="00782222"/>
    <w:rsid w:val="007936ED"/>
    <w:rsid w:val="007A1FB6"/>
    <w:rsid w:val="007B6388"/>
    <w:rsid w:val="007C0A5F"/>
    <w:rsid w:val="007E6F65"/>
    <w:rsid w:val="00803F3C"/>
    <w:rsid w:val="00804CFE"/>
    <w:rsid w:val="00811C94"/>
    <w:rsid w:val="00811CF1"/>
    <w:rsid w:val="008400A0"/>
    <w:rsid w:val="008438D7"/>
    <w:rsid w:val="00860E5A"/>
    <w:rsid w:val="00867AB6"/>
    <w:rsid w:val="008834B2"/>
    <w:rsid w:val="008972DB"/>
    <w:rsid w:val="008A26EE"/>
    <w:rsid w:val="008B6AD3"/>
    <w:rsid w:val="00910044"/>
    <w:rsid w:val="009122B1"/>
    <w:rsid w:val="00913129"/>
    <w:rsid w:val="00917C70"/>
    <w:rsid w:val="009228DF"/>
    <w:rsid w:val="00924E84"/>
    <w:rsid w:val="00927E64"/>
    <w:rsid w:val="009427BD"/>
    <w:rsid w:val="00947FCC"/>
    <w:rsid w:val="00954369"/>
    <w:rsid w:val="009772CC"/>
    <w:rsid w:val="00985A10"/>
    <w:rsid w:val="00A061D7"/>
    <w:rsid w:val="00A242BE"/>
    <w:rsid w:val="00A30E81"/>
    <w:rsid w:val="00A34804"/>
    <w:rsid w:val="00A52C88"/>
    <w:rsid w:val="00A67B50"/>
    <w:rsid w:val="00A941CF"/>
    <w:rsid w:val="00A97B99"/>
    <w:rsid w:val="00AC79B5"/>
    <w:rsid w:val="00AE2601"/>
    <w:rsid w:val="00B22F6A"/>
    <w:rsid w:val="00B31114"/>
    <w:rsid w:val="00B35935"/>
    <w:rsid w:val="00B37E63"/>
    <w:rsid w:val="00B444A2"/>
    <w:rsid w:val="00B610FE"/>
    <w:rsid w:val="00B62CFB"/>
    <w:rsid w:val="00B72D61"/>
    <w:rsid w:val="00B8231A"/>
    <w:rsid w:val="00BA4B68"/>
    <w:rsid w:val="00BB1444"/>
    <w:rsid w:val="00BB55C0"/>
    <w:rsid w:val="00BC0920"/>
    <w:rsid w:val="00BD2EBE"/>
    <w:rsid w:val="00BF39F0"/>
    <w:rsid w:val="00C11FDF"/>
    <w:rsid w:val="00C51672"/>
    <w:rsid w:val="00C572C4"/>
    <w:rsid w:val="00C731BB"/>
    <w:rsid w:val="00CA0958"/>
    <w:rsid w:val="00CA151C"/>
    <w:rsid w:val="00CA299A"/>
    <w:rsid w:val="00CB1900"/>
    <w:rsid w:val="00CB43C1"/>
    <w:rsid w:val="00CD077D"/>
    <w:rsid w:val="00CE5183"/>
    <w:rsid w:val="00CF51C7"/>
    <w:rsid w:val="00D00358"/>
    <w:rsid w:val="00D13E83"/>
    <w:rsid w:val="00D313A5"/>
    <w:rsid w:val="00D368D6"/>
    <w:rsid w:val="00D440DE"/>
    <w:rsid w:val="00D73323"/>
    <w:rsid w:val="00DB4D6B"/>
    <w:rsid w:val="00DC2302"/>
    <w:rsid w:val="00DE50C1"/>
    <w:rsid w:val="00E04378"/>
    <w:rsid w:val="00E055E1"/>
    <w:rsid w:val="00E138E0"/>
    <w:rsid w:val="00E3132E"/>
    <w:rsid w:val="00E36EA0"/>
    <w:rsid w:val="00E435FA"/>
    <w:rsid w:val="00E61F30"/>
    <w:rsid w:val="00E657E1"/>
    <w:rsid w:val="00E67DF0"/>
    <w:rsid w:val="00E7274C"/>
    <w:rsid w:val="00E74E00"/>
    <w:rsid w:val="00E75C57"/>
    <w:rsid w:val="00E76A4E"/>
    <w:rsid w:val="00E86EC3"/>
    <w:rsid w:val="00E86F85"/>
    <w:rsid w:val="00E9626F"/>
    <w:rsid w:val="00EC40AD"/>
    <w:rsid w:val="00ED289A"/>
    <w:rsid w:val="00ED72D3"/>
    <w:rsid w:val="00EF29AB"/>
    <w:rsid w:val="00EF56AF"/>
    <w:rsid w:val="00F02C40"/>
    <w:rsid w:val="00F24917"/>
    <w:rsid w:val="00F30D40"/>
    <w:rsid w:val="00F410DF"/>
    <w:rsid w:val="00F607CE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72DB"/>
    <w:pPr>
      <w:keepNext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97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972DB"/>
    <w:rPr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8972DB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972DB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8972DB"/>
    <w:rPr>
      <w:color w:val="0000FF"/>
      <w:u w:val="single"/>
    </w:rPr>
  </w:style>
  <w:style w:type="character" w:styleId="af">
    <w:name w:val="FollowedHyperlink"/>
    <w:unhideWhenUsed/>
    <w:rsid w:val="008972DB"/>
    <w:rPr>
      <w:color w:val="800080"/>
      <w:u w:val="single"/>
    </w:rPr>
  </w:style>
  <w:style w:type="character" w:styleId="HTML">
    <w:name w:val="HTML Typewriter"/>
    <w:unhideWhenUsed/>
    <w:rsid w:val="008972DB"/>
    <w:rPr>
      <w:rFonts w:ascii="Arial Unicode MS" w:eastAsia="Arial Unicode MS" w:hAnsi="Arial Unicode MS" w:cs="Arial Unicode MS" w:hint="eastAsia"/>
      <w:sz w:val="20"/>
      <w:szCs w:val="20"/>
    </w:rPr>
  </w:style>
  <w:style w:type="paragraph" w:styleId="af0">
    <w:name w:val="Normal (Web)"/>
    <w:basedOn w:val="a"/>
    <w:uiPriority w:val="99"/>
    <w:unhideWhenUsed/>
    <w:rsid w:val="008972DB"/>
    <w:pPr>
      <w:spacing w:before="69" w:after="69"/>
    </w:pPr>
    <w:rPr>
      <w:rFonts w:ascii="Arial" w:eastAsia="Arial Unicode MS" w:hAnsi="Arial" w:cs="Arial"/>
      <w:color w:val="000000"/>
    </w:rPr>
  </w:style>
  <w:style w:type="paragraph" w:styleId="af1">
    <w:name w:val="annotation text"/>
    <w:basedOn w:val="a"/>
    <w:link w:val="af2"/>
    <w:uiPriority w:val="99"/>
    <w:unhideWhenUsed/>
    <w:rsid w:val="008972DB"/>
  </w:style>
  <w:style w:type="character" w:customStyle="1" w:styleId="af2">
    <w:name w:val="Текст примечания Знак"/>
    <w:basedOn w:val="a0"/>
    <w:link w:val="af1"/>
    <w:uiPriority w:val="99"/>
    <w:rsid w:val="008972DB"/>
  </w:style>
  <w:style w:type="character" w:customStyle="1" w:styleId="aa">
    <w:name w:val="Верхний колонтитул Знак"/>
    <w:basedOn w:val="a0"/>
    <w:link w:val="a9"/>
    <w:uiPriority w:val="99"/>
    <w:rsid w:val="008972DB"/>
  </w:style>
  <w:style w:type="character" w:customStyle="1" w:styleId="a8">
    <w:name w:val="Нижний колонтитул Знак"/>
    <w:basedOn w:val="a0"/>
    <w:link w:val="a7"/>
    <w:uiPriority w:val="99"/>
    <w:rsid w:val="008972DB"/>
  </w:style>
  <w:style w:type="paragraph" w:styleId="af3">
    <w:name w:val="Title"/>
    <w:basedOn w:val="a"/>
    <w:link w:val="af4"/>
    <w:uiPriority w:val="99"/>
    <w:qFormat/>
    <w:rsid w:val="008972DB"/>
    <w:pPr>
      <w:jc w:val="center"/>
    </w:pPr>
    <w:rPr>
      <w:b/>
      <w:sz w:val="28"/>
      <w:szCs w:val="28"/>
    </w:rPr>
  </w:style>
  <w:style w:type="character" w:customStyle="1" w:styleId="af4">
    <w:name w:val="Название Знак"/>
    <w:basedOn w:val="a0"/>
    <w:link w:val="af3"/>
    <w:uiPriority w:val="99"/>
    <w:rsid w:val="008972DB"/>
    <w:rPr>
      <w:b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972DB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8972DB"/>
    <w:rPr>
      <w:sz w:val="28"/>
    </w:rPr>
  </w:style>
  <w:style w:type="paragraph" w:styleId="21">
    <w:name w:val="Body Text 2"/>
    <w:basedOn w:val="a"/>
    <w:link w:val="22"/>
    <w:uiPriority w:val="99"/>
    <w:unhideWhenUsed/>
    <w:rsid w:val="008972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972DB"/>
  </w:style>
  <w:style w:type="paragraph" w:styleId="31">
    <w:name w:val="Body Text 3"/>
    <w:basedOn w:val="a"/>
    <w:link w:val="32"/>
    <w:uiPriority w:val="99"/>
    <w:unhideWhenUsed/>
    <w:rsid w:val="008972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972DB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8972D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972DB"/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uiPriority w:val="99"/>
    <w:rsid w:val="008972DB"/>
    <w:pPr>
      <w:widowControl w:val="0"/>
      <w:snapToGrid w:val="0"/>
      <w:ind w:firstLine="720"/>
    </w:pPr>
    <w:rPr>
      <w:rFonts w:ascii="Arial" w:hAnsi="Arial"/>
    </w:rPr>
  </w:style>
  <w:style w:type="paragraph" w:customStyle="1" w:styleId="af5">
    <w:name w:val="Название организации"/>
    <w:basedOn w:val="a3"/>
    <w:uiPriority w:val="99"/>
    <w:rsid w:val="008972DB"/>
    <w:pPr>
      <w:spacing w:before="120" w:after="80"/>
    </w:pPr>
    <w:rPr>
      <w:b/>
    </w:rPr>
  </w:style>
  <w:style w:type="paragraph" w:customStyle="1" w:styleId="ConsPlusTitle">
    <w:name w:val="ConsPlusTitle"/>
    <w:uiPriority w:val="99"/>
    <w:rsid w:val="00897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972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972D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7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8972DB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26">
    <w:name w:val="Знак2 Знак Знак Знак Знак Знак Знак Знак Знак Знак Знак Знак Знак"/>
    <w:basedOn w:val="a"/>
    <w:uiPriority w:val="99"/>
    <w:rsid w:val="008972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"/>
    <w:basedOn w:val="a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tentheader2cols">
    <w:name w:val="contentheader2cols"/>
    <w:basedOn w:val="a"/>
    <w:uiPriority w:val="99"/>
    <w:rsid w:val="008972DB"/>
    <w:pPr>
      <w:spacing w:before="80"/>
      <w:ind w:left="400"/>
    </w:pPr>
    <w:rPr>
      <w:b/>
      <w:bCs/>
      <w:color w:val="3560A7"/>
      <w:sz w:val="34"/>
      <w:szCs w:val="34"/>
    </w:rPr>
  </w:style>
  <w:style w:type="paragraph" w:customStyle="1" w:styleId="consplusnormal0">
    <w:name w:val="consplusnormal"/>
    <w:basedOn w:val="a"/>
    <w:uiPriority w:val="99"/>
    <w:rsid w:val="008972DB"/>
    <w:pPr>
      <w:spacing w:before="100" w:after="100"/>
    </w:pPr>
    <w:rPr>
      <w:rFonts w:ascii="Arial" w:hAnsi="Arial" w:cs="Arial"/>
      <w:color w:val="000000"/>
    </w:rPr>
  </w:style>
  <w:style w:type="paragraph" w:customStyle="1" w:styleId="af7">
    <w:name w:val="Нормальный (таблица)"/>
    <w:basedOn w:val="a"/>
    <w:next w:val="a"/>
    <w:uiPriority w:val="99"/>
    <w:rsid w:val="008972DB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8972D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11">
    <w:name w:val="Знак1"/>
    <w:basedOn w:val="a"/>
    <w:uiPriority w:val="99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9">
    <w:name w:val="annotation reference"/>
    <w:unhideWhenUsed/>
    <w:rsid w:val="008972DB"/>
    <w:rPr>
      <w:sz w:val="16"/>
      <w:szCs w:val="16"/>
    </w:rPr>
  </w:style>
  <w:style w:type="character" w:customStyle="1" w:styleId="afa">
    <w:name w:val="Гипертекстовая ссылка"/>
    <w:rsid w:val="008972DB"/>
    <w:rPr>
      <w:color w:val="008000"/>
    </w:rPr>
  </w:style>
  <w:style w:type="character" w:customStyle="1" w:styleId="st">
    <w:name w:val="st"/>
    <w:basedOn w:val="a0"/>
    <w:rsid w:val="008972DB"/>
  </w:style>
  <w:style w:type="character" w:customStyle="1" w:styleId="afb">
    <w:name w:val="Цветовое выделение"/>
    <w:rsid w:val="008972DB"/>
    <w:rPr>
      <w:b/>
      <w:bCs/>
      <w:color w:val="000080"/>
    </w:rPr>
  </w:style>
  <w:style w:type="table" w:styleId="afc">
    <w:name w:val="Table Grid"/>
    <w:basedOn w:val="a1"/>
    <w:uiPriority w:val="59"/>
    <w:rsid w:val="0089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basedOn w:val="a0"/>
    <w:qFormat/>
    <w:rsid w:val="008972DB"/>
    <w:rPr>
      <w:i/>
      <w:iCs/>
    </w:rPr>
  </w:style>
  <w:style w:type="paragraph" w:styleId="afe">
    <w:name w:val="List Paragraph"/>
    <w:basedOn w:val="a"/>
    <w:uiPriority w:val="34"/>
    <w:qFormat/>
    <w:rsid w:val="008972DB"/>
    <w:pPr>
      <w:ind w:left="720"/>
      <w:contextualSpacing/>
    </w:pPr>
  </w:style>
  <w:style w:type="paragraph" w:customStyle="1" w:styleId="Default">
    <w:name w:val="Default"/>
    <w:rsid w:val="008972D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rsid w:val="008972D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972DB"/>
    <w:rPr>
      <w:sz w:val="16"/>
      <w:szCs w:val="16"/>
    </w:rPr>
  </w:style>
  <w:style w:type="character" w:customStyle="1" w:styleId="apple-converted-space">
    <w:name w:val="apple-converted-space"/>
    <w:basedOn w:val="a0"/>
    <w:rsid w:val="008972DB"/>
  </w:style>
  <w:style w:type="table" w:customStyle="1" w:styleId="12">
    <w:name w:val="Сетка таблицы1"/>
    <w:basedOn w:val="a1"/>
    <w:next w:val="afc"/>
    <w:uiPriority w:val="59"/>
    <w:rsid w:val="0089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Plain Text"/>
    <w:basedOn w:val="a"/>
    <w:link w:val="aff0"/>
    <w:uiPriority w:val="99"/>
    <w:unhideWhenUsed/>
    <w:rsid w:val="008972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0">
    <w:name w:val="Текст Знак"/>
    <w:basedOn w:val="a0"/>
    <w:link w:val="aff"/>
    <w:uiPriority w:val="99"/>
    <w:rsid w:val="008972DB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972DB"/>
    <w:pPr>
      <w:keepNext/>
      <w:jc w:val="center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8972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</w:rPr>
  </w:style>
  <w:style w:type="paragraph" w:styleId="a5">
    <w:name w:val="Body Text Indent"/>
    <w:basedOn w:val="a"/>
    <w:link w:val="a6"/>
    <w:uiPriority w:val="99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page number"/>
    <w:basedOn w:val="a0"/>
  </w:style>
  <w:style w:type="paragraph" w:styleId="ac">
    <w:name w:val="Balloon Text"/>
    <w:basedOn w:val="a"/>
    <w:link w:val="ad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972DB"/>
    <w:rPr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8972DB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8972DB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8972DB"/>
    <w:rPr>
      <w:color w:val="0000FF"/>
      <w:u w:val="single"/>
    </w:rPr>
  </w:style>
  <w:style w:type="character" w:styleId="af">
    <w:name w:val="FollowedHyperlink"/>
    <w:unhideWhenUsed/>
    <w:rsid w:val="008972DB"/>
    <w:rPr>
      <w:color w:val="800080"/>
      <w:u w:val="single"/>
    </w:rPr>
  </w:style>
  <w:style w:type="character" w:styleId="HTML">
    <w:name w:val="HTML Typewriter"/>
    <w:unhideWhenUsed/>
    <w:rsid w:val="008972DB"/>
    <w:rPr>
      <w:rFonts w:ascii="Arial Unicode MS" w:eastAsia="Arial Unicode MS" w:hAnsi="Arial Unicode MS" w:cs="Arial Unicode MS" w:hint="eastAsia"/>
      <w:sz w:val="20"/>
      <w:szCs w:val="20"/>
    </w:rPr>
  </w:style>
  <w:style w:type="paragraph" w:styleId="af0">
    <w:name w:val="Normal (Web)"/>
    <w:basedOn w:val="a"/>
    <w:uiPriority w:val="99"/>
    <w:unhideWhenUsed/>
    <w:rsid w:val="008972DB"/>
    <w:pPr>
      <w:spacing w:before="69" w:after="69"/>
    </w:pPr>
    <w:rPr>
      <w:rFonts w:ascii="Arial" w:eastAsia="Arial Unicode MS" w:hAnsi="Arial" w:cs="Arial"/>
      <w:color w:val="000000"/>
    </w:rPr>
  </w:style>
  <w:style w:type="paragraph" w:styleId="af1">
    <w:name w:val="annotation text"/>
    <w:basedOn w:val="a"/>
    <w:link w:val="af2"/>
    <w:uiPriority w:val="99"/>
    <w:unhideWhenUsed/>
    <w:rsid w:val="008972DB"/>
  </w:style>
  <w:style w:type="character" w:customStyle="1" w:styleId="af2">
    <w:name w:val="Текст примечания Знак"/>
    <w:basedOn w:val="a0"/>
    <w:link w:val="af1"/>
    <w:uiPriority w:val="99"/>
    <w:rsid w:val="008972DB"/>
  </w:style>
  <w:style w:type="character" w:customStyle="1" w:styleId="aa">
    <w:name w:val="Верхний колонтитул Знак"/>
    <w:basedOn w:val="a0"/>
    <w:link w:val="a9"/>
    <w:uiPriority w:val="99"/>
    <w:rsid w:val="008972DB"/>
  </w:style>
  <w:style w:type="character" w:customStyle="1" w:styleId="a8">
    <w:name w:val="Нижний колонтитул Знак"/>
    <w:basedOn w:val="a0"/>
    <w:link w:val="a7"/>
    <w:uiPriority w:val="99"/>
    <w:rsid w:val="008972DB"/>
  </w:style>
  <w:style w:type="paragraph" w:styleId="af3">
    <w:name w:val="Title"/>
    <w:basedOn w:val="a"/>
    <w:link w:val="af4"/>
    <w:uiPriority w:val="99"/>
    <w:qFormat/>
    <w:rsid w:val="008972DB"/>
    <w:pPr>
      <w:jc w:val="center"/>
    </w:pPr>
    <w:rPr>
      <w:b/>
      <w:sz w:val="28"/>
      <w:szCs w:val="28"/>
    </w:rPr>
  </w:style>
  <w:style w:type="character" w:customStyle="1" w:styleId="af4">
    <w:name w:val="Название Знак"/>
    <w:basedOn w:val="a0"/>
    <w:link w:val="af3"/>
    <w:uiPriority w:val="99"/>
    <w:rsid w:val="008972DB"/>
    <w:rPr>
      <w:b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972DB"/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8972DB"/>
    <w:rPr>
      <w:sz w:val="28"/>
    </w:rPr>
  </w:style>
  <w:style w:type="paragraph" w:styleId="21">
    <w:name w:val="Body Text 2"/>
    <w:basedOn w:val="a"/>
    <w:link w:val="22"/>
    <w:uiPriority w:val="99"/>
    <w:unhideWhenUsed/>
    <w:rsid w:val="008972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8972DB"/>
  </w:style>
  <w:style w:type="paragraph" w:styleId="31">
    <w:name w:val="Body Text 3"/>
    <w:basedOn w:val="a"/>
    <w:link w:val="32"/>
    <w:uiPriority w:val="99"/>
    <w:unhideWhenUsed/>
    <w:rsid w:val="008972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972DB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8972D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8972DB"/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Normal">
    <w:name w:val="ConsNormal"/>
    <w:uiPriority w:val="99"/>
    <w:rsid w:val="008972DB"/>
    <w:pPr>
      <w:widowControl w:val="0"/>
      <w:snapToGrid w:val="0"/>
      <w:ind w:firstLine="720"/>
    </w:pPr>
    <w:rPr>
      <w:rFonts w:ascii="Arial" w:hAnsi="Arial"/>
    </w:rPr>
  </w:style>
  <w:style w:type="paragraph" w:customStyle="1" w:styleId="af5">
    <w:name w:val="Название организации"/>
    <w:basedOn w:val="a3"/>
    <w:uiPriority w:val="99"/>
    <w:rsid w:val="008972DB"/>
    <w:pPr>
      <w:spacing w:before="120" w:after="80"/>
    </w:pPr>
    <w:rPr>
      <w:b/>
    </w:rPr>
  </w:style>
  <w:style w:type="paragraph" w:customStyle="1" w:styleId="ConsPlusTitle">
    <w:name w:val="ConsPlusTitle"/>
    <w:uiPriority w:val="99"/>
    <w:rsid w:val="008972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8972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8972D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897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0">
    <w:name w:val="Основной текст 21"/>
    <w:basedOn w:val="a"/>
    <w:uiPriority w:val="99"/>
    <w:rsid w:val="008972DB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26">
    <w:name w:val="Знак2 Знак Знак Знак Знак Знак Знак Знак Знак Знак Знак Знак Знак"/>
    <w:basedOn w:val="a"/>
    <w:uiPriority w:val="99"/>
    <w:rsid w:val="008972D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6">
    <w:name w:val="Знак"/>
    <w:basedOn w:val="a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tentheader2cols">
    <w:name w:val="contentheader2cols"/>
    <w:basedOn w:val="a"/>
    <w:uiPriority w:val="99"/>
    <w:rsid w:val="008972DB"/>
    <w:pPr>
      <w:spacing w:before="80"/>
      <w:ind w:left="400"/>
    </w:pPr>
    <w:rPr>
      <w:b/>
      <w:bCs/>
      <w:color w:val="3560A7"/>
      <w:sz w:val="34"/>
      <w:szCs w:val="34"/>
    </w:rPr>
  </w:style>
  <w:style w:type="paragraph" w:customStyle="1" w:styleId="consplusnormal0">
    <w:name w:val="consplusnormal"/>
    <w:basedOn w:val="a"/>
    <w:uiPriority w:val="99"/>
    <w:rsid w:val="008972DB"/>
    <w:pPr>
      <w:spacing w:before="100" w:after="100"/>
    </w:pPr>
    <w:rPr>
      <w:rFonts w:ascii="Arial" w:hAnsi="Arial" w:cs="Arial"/>
      <w:color w:val="000000"/>
    </w:rPr>
  </w:style>
  <w:style w:type="paragraph" w:customStyle="1" w:styleId="af7">
    <w:name w:val="Нормальный (таблица)"/>
    <w:basedOn w:val="a"/>
    <w:next w:val="a"/>
    <w:uiPriority w:val="99"/>
    <w:rsid w:val="008972DB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8972D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11">
    <w:name w:val="Знак1"/>
    <w:basedOn w:val="a"/>
    <w:uiPriority w:val="99"/>
    <w:rsid w:val="008972D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9">
    <w:name w:val="annotation reference"/>
    <w:unhideWhenUsed/>
    <w:rsid w:val="008972DB"/>
    <w:rPr>
      <w:sz w:val="16"/>
      <w:szCs w:val="16"/>
    </w:rPr>
  </w:style>
  <w:style w:type="character" w:customStyle="1" w:styleId="afa">
    <w:name w:val="Гипертекстовая ссылка"/>
    <w:rsid w:val="008972DB"/>
    <w:rPr>
      <w:color w:val="008000"/>
    </w:rPr>
  </w:style>
  <w:style w:type="character" w:customStyle="1" w:styleId="st">
    <w:name w:val="st"/>
    <w:basedOn w:val="a0"/>
    <w:rsid w:val="008972DB"/>
  </w:style>
  <w:style w:type="character" w:customStyle="1" w:styleId="afb">
    <w:name w:val="Цветовое выделение"/>
    <w:rsid w:val="008972DB"/>
    <w:rPr>
      <w:b/>
      <w:bCs/>
      <w:color w:val="000080"/>
    </w:rPr>
  </w:style>
  <w:style w:type="table" w:styleId="afc">
    <w:name w:val="Table Grid"/>
    <w:basedOn w:val="a1"/>
    <w:uiPriority w:val="59"/>
    <w:rsid w:val="0089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Emphasis"/>
    <w:basedOn w:val="a0"/>
    <w:qFormat/>
    <w:rsid w:val="008972DB"/>
    <w:rPr>
      <w:i/>
      <w:iCs/>
    </w:rPr>
  </w:style>
  <w:style w:type="paragraph" w:styleId="afe">
    <w:name w:val="List Paragraph"/>
    <w:basedOn w:val="a"/>
    <w:uiPriority w:val="34"/>
    <w:qFormat/>
    <w:rsid w:val="008972DB"/>
    <w:pPr>
      <w:ind w:left="720"/>
      <w:contextualSpacing/>
    </w:pPr>
  </w:style>
  <w:style w:type="paragraph" w:customStyle="1" w:styleId="Default">
    <w:name w:val="Default"/>
    <w:rsid w:val="008972D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33">
    <w:name w:val="Body Text Indent 3"/>
    <w:basedOn w:val="a"/>
    <w:link w:val="34"/>
    <w:rsid w:val="008972D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8972DB"/>
    <w:rPr>
      <w:sz w:val="16"/>
      <w:szCs w:val="16"/>
    </w:rPr>
  </w:style>
  <w:style w:type="character" w:customStyle="1" w:styleId="apple-converted-space">
    <w:name w:val="apple-converted-space"/>
    <w:basedOn w:val="a0"/>
    <w:rsid w:val="008972DB"/>
  </w:style>
  <w:style w:type="table" w:customStyle="1" w:styleId="12">
    <w:name w:val="Сетка таблицы1"/>
    <w:basedOn w:val="a1"/>
    <w:next w:val="afc"/>
    <w:uiPriority w:val="59"/>
    <w:rsid w:val="0089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Plain Text"/>
    <w:basedOn w:val="a"/>
    <w:link w:val="aff0"/>
    <w:uiPriority w:val="99"/>
    <w:unhideWhenUsed/>
    <w:rsid w:val="008972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0">
    <w:name w:val="Текст Знак"/>
    <w:basedOn w:val="a0"/>
    <w:link w:val="aff"/>
    <w:uiPriority w:val="99"/>
    <w:rsid w:val="008972DB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CEF56D60-4264-458A-BB4B-47916579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</Template>
  <TotalTime>293</TotalTime>
  <Pages>70</Pages>
  <Words>10266</Words>
  <Characters>81304</Characters>
  <Application>Microsoft Office Word</Application>
  <DocSecurity>0</DocSecurity>
  <Lines>677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91388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Администратор</cp:lastModifiedBy>
  <cp:revision>109</cp:revision>
  <cp:lastPrinted>2017-01-10T07:02:00Z</cp:lastPrinted>
  <dcterms:created xsi:type="dcterms:W3CDTF">2016-12-29T14:33:00Z</dcterms:created>
  <dcterms:modified xsi:type="dcterms:W3CDTF">2017-01-17T08:41:00Z</dcterms:modified>
</cp:coreProperties>
</file>